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E0C4" w14:textId="585CBCEA" w:rsidR="00314915" w:rsidRDefault="00314915" w:rsidP="00314915">
      <w:r>
        <w:t>Arts Projects, a grant category within the Northern Territory Arts Grants Program,</w:t>
      </w:r>
      <w:r w:rsidRPr="00314915">
        <w:t xml:space="preserve"> supports projects that create and showcase the arts of the N</w:t>
      </w:r>
      <w:r w:rsidR="007919C3">
        <w:t>orthern Territory</w:t>
      </w:r>
      <w:r w:rsidRPr="00314915">
        <w:t xml:space="preserve">, provide skills and employment opportunities for </w:t>
      </w:r>
      <w:r w:rsidR="007919C3" w:rsidRPr="00314915">
        <w:t>N</w:t>
      </w:r>
      <w:r w:rsidR="007919C3">
        <w:t xml:space="preserve">orthern Territory </w:t>
      </w:r>
      <w:r w:rsidRPr="00314915">
        <w:t>artists and support community access and participation in the arts, through the following categories:</w:t>
      </w:r>
      <w:r w:rsidRPr="00314915">
        <w:rPr>
          <w:noProof/>
          <w:lang w:eastAsia="en-AU"/>
        </w:rPr>
        <w:t xml:space="preserve"> </w:t>
      </w:r>
    </w:p>
    <w:p w14:paraId="4B85354E" w14:textId="31DA59F1" w:rsidR="00314915" w:rsidRDefault="00BE0CEE" w:rsidP="00314915">
      <w:pPr>
        <w:pStyle w:val="ListParagraph"/>
        <w:numPr>
          <w:ilvl w:val="0"/>
          <w:numId w:val="48"/>
        </w:numPr>
      </w:pP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45A746F6" wp14:editId="6CD60210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3252470" cy="1852295"/>
            <wp:effectExtent l="0" t="0" r="5080" b="14605"/>
            <wp:wrapTight wrapText="bothSides">
              <wp:wrapPolygon edited="0">
                <wp:start x="0" y="0"/>
                <wp:lineTo x="0" y="21548"/>
                <wp:lineTo x="21507" y="21548"/>
                <wp:lineTo x="21507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915">
        <w:t>Presentation and promotion</w:t>
      </w:r>
    </w:p>
    <w:p w14:paraId="733F31A5" w14:textId="066987EF" w:rsidR="00314915" w:rsidRDefault="00314915" w:rsidP="00314915">
      <w:pPr>
        <w:pStyle w:val="ListParagraph"/>
        <w:numPr>
          <w:ilvl w:val="0"/>
          <w:numId w:val="48"/>
        </w:numPr>
      </w:pPr>
      <w:r>
        <w:t>Skills development</w:t>
      </w:r>
    </w:p>
    <w:p w14:paraId="5974930A" w14:textId="4098619B" w:rsidR="00314915" w:rsidRDefault="00314915" w:rsidP="00314915">
      <w:pPr>
        <w:pStyle w:val="ListParagraph"/>
        <w:numPr>
          <w:ilvl w:val="0"/>
          <w:numId w:val="48"/>
        </w:numPr>
      </w:pPr>
      <w:r>
        <w:t>Arts development</w:t>
      </w:r>
    </w:p>
    <w:p w14:paraId="682D7310" w14:textId="312652DC" w:rsidR="00314915" w:rsidRDefault="00314915" w:rsidP="00314915">
      <w:pPr>
        <w:pStyle w:val="ListParagraph"/>
        <w:numPr>
          <w:ilvl w:val="0"/>
          <w:numId w:val="48"/>
        </w:numPr>
      </w:pPr>
      <w:r>
        <w:t>Emerging artists</w:t>
      </w:r>
      <w:r w:rsidR="00BE0CEE">
        <w:t>.</w:t>
      </w:r>
      <w:r>
        <w:t xml:space="preserve"> </w:t>
      </w:r>
    </w:p>
    <w:p w14:paraId="770FBDEC" w14:textId="378200D8" w:rsidR="0090688D" w:rsidRDefault="00314915" w:rsidP="00314915">
      <w:r>
        <w:t xml:space="preserve">Round </w:t>
      </w:r>
      <w:r w:rsidR="00BE0CEE">
        <w:t>2</w:t>
      </w:r>
      <w:r>
        <w:t xml:space="preserve"> of the 2023-24 Arts Projects</w:t>
      </w:r>
      <w:r w:rsidR="00BE0CEE">
        <w:t xml:space="preserve"> </w:t>
      </w:r>
      <w:proofErr w:type="gramStart"/>
      <w:r w:rsidR="00BE0CEE">
        <w:t>category</w:t>
      </w:r>
      <w:proofErr w:type="gramEnd"/>
      <w:r>
        <w:t xml:space="preserve"> opened on 5 February 2024 and closed on 11</w:t>
      </w:r>
      <w:r w:rsidR="00F312A3">
        <w:t> </w:t>
      </w:r>
      <w:r>
        <w:t xml:space="preserve">March 2024. </w:t>
      </w:r>
    </w:p>
    <w:p w14:paraId="49776B52" w14:textId="11672CEC" w:rsidR="00314915" w:rsidRDefault="00314915" w:rsidP="00314915">
      <w:r>
        <w:t>A total of $200</w:t>
      </w:r>
      <w:r w:rsidR="007919C3">
        <w:t>,</w:t>
      </w:r>
      <w:r>
        <w:t>000 was allocated, supporting 12</w:t>
      </w:r>
      <w:r w:rsidR="00F312A3">
        <w:t> </w:t>
      </w:r>
      <w:r>
        <w:t>projects recommended by the assessment panel out of 38 eligible applications received.</w:t>
      </w:r>
    </w:p>
    <w:p w14:paraId="5AADFE01" w14:textId="4C90B18D" w:rsidR="00314915" w:rsidRDefault="00314915" w:rsidP="00314915"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5B1DE23E" wp14:editId="7EA13F91">
            <wp:simplePos x="0" y="0"/>
            <wp:positionH relativeFrom="margin">
              <wp:align>right</wp:align>
            </wp:positionH>
            <wp:positionV relativeFrom="page">
              <wp:posOffset>4423537</wp:posOffset>
            </wp:positionV>
            <wp:extent cx="3335655" cy="2233930"/>
            <wp:effectExtent l="0" t="0" r="17145" b="13970"/>
            <wp:wrapTight wrapText="bothSides">
              <wp:wrapPolygon edited="0">
                <wp:start x="0" y="0"/>
                <wp:lineTo x="0" y="21551"/>
                <wp:lineTo x="21588" y="21551"/>
                <wp:lineTo x="21588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assessment panel, drawn from the Arts NT Register of Peers, evaluates applications based on published grant category objectives and assessment criteria, aiming for a balanced representation across art forms, regions, and benefits to the applicant's arts practice and the Territory.</w:t>
      </w:r>
    </w:p>
    <w:p w14:paraId="45B38EF7" w14:textId="55A59075" w:rsidR="00314915" w:rsidRDefault="00314915" w:rsidP="00314915">
      <w:pPr>
        <w:pStyle w:val="Heading1"/>
      </w:pPr>
      <w:r>
        <w:t>Key statistics</w:t>
      </w:r>
    </w:p>
    <w:p w14:paraId="57C3EFCA" w14:textId="70474A27" w:rsidR="00314915" w:rsidRDefault="00314915" w:rsidP="00314915">
      <w:pPr>
        <w:pStyle w:val="ListParagraph"/>
        <w:numPr>
          <w:ilvl w:val="0"/>
          <w:numId w:val="49"/>
        </w:numPr>
      </w:pPr>
      <w:r>
        <w:t>12 funded projects with a 32% success rate</w:t>
      </w:r>
    </w:p>
    <w:p w14:paraId="4DA7789F" w14:textId="17B3DBB1" w:rsidR="00314915" w:rsidRDefault="00F312A3" w:rsidP="00314915">
      <w:pPr>
        <w:pStyle w:val="ListParagraph"/>
        <w:numPr>
          <w:ilvl w:val="0"/>
          <w:numId w:val="49"/>
        </w:numPr>
      </w:pPr>
      <w:r>
        <w:rPr>
          <w:rFonts w:ascii="Lato Semibold" w:hAnsi="Lato Semibold" w:cs="Arial"/>
          <w:noProof/>
          <w:color w:val="1F1F5F" w:themeColor="text1"/>
          <w:sz w:val="28"/>
          <w:szCs w:val="26"/>
          <w:lang w:eastAsia="en-AU"/>
        </w:rPr>
        <w:drawing>
          <wp:anchor distT="0" distB="0" distL="114300" distR="114300" simplePos="0" relativeHeight="251665408" behindDoc="1" locked="0" layoutInCell="1" allowOverlap="1" wp14:anchorId="5B31BC0C" wp14:editId="69FFDCDB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3341370" cy="2044065"/>
            <wp:effectExtent l="0" t="0" r="11430" b="13335"/>
            <wp:wrapTight wrapText="bothSides">
              <wp:wrapPolygon edited="0">
                <wp:start x="0" y="0"/>
                <wp:lineTo x="0" y="21540"/>
                <wp:lineTo x="21551" y="21540"/>
                <wp:lineTo x="21551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915">
        <w:t>$63</w:t>
      </w:r>
      <w:r w:rsidR="00BE0CEE">
        <w:t xml:space="preserve"> </w:t>
      </w:r>
      <w:r w:rsidR="00314915">
        <w:t>122 (</w:t>
      </w:r>
      <w:r w:rsidR="00EE33FF">
        <w:t>32</w:t>
      </w:r>
      <w:r w:rsidR="00314915">
        <w:t xml:space="preserve">%) allocated to 4 Darwin, </w:t>
      </w:r>
      <w:r>
        <w:br/>
      </w:r>
      <w:r w:rsidR="00314915">
        <w:t>Palmerston, and Litchfield applicants</w:t>
      </w:r>
    </w:p>
    <w:p w14:paraId="7CDDCD58" w14:textId="759607BD" w:rsidR="00314915" w:rsidRDefault="00314915" w:rsidP="00314915">
      <w:pPr>
        <w:pStyle w:val="ListParagraph"/>
        <w:numPr>
          <w:ilvl w:val="0"/>
          <w:numId w:val="49"/>
        </w:numPr>
      </w:pPr>
      <w:r>
        <w:t>$84</w:t>
      </w:r>
      <w:r w:rsidR="00BE0CEE">
        <w:t xml:space="preserve"> </w:t>
      </w:r>
      <w:r>
        <w:t>288 (42%) allocated to 5 Central Australian applicants</w:t>
      </w:r>
    </w:p>
    <w:p w14:paraId="7E8D9C19" w14:textId="786B6A63" w:rsidR="00314915" w:rsidRDefault="00314915" w:rsidP="00314915">
      <w:pPr>
        <w:pStyle w:val="ListParagraph"/>
        <w:numPr>
          <w:ilvl w:val="0"/>
          <w:numId w:val="49"/>
        </w:numPr>
      </w:pPr>
      <w:r>
        <w:t>$15</w:t>
      </w:r>
      <w:r w:rsidR="00BE0CEE">
        <w:t xml:space="preserve"> </w:t>
      </w:r>
      <w:r>
        <w:t>000 (</w:t>
      </w:r>
      <w:r w:rsidR="00EE33FF">
        <w:t>7</w:t>
      </w:r>
      <w:r>
        <w:t xml:space="preserve">%) allocated to </w:t>
      </w:r>
      <w:r w:rsidR="00BE0CEE">
        <w:t>one</w:t>
      </w:r>
      <w:r>
        <w:t xml:space="preserve"> East Arnhem applicant</w:t>
      </w:r>
    </w:p>
    <w:p w14:paraId="1C8D5500" w14:textId="1BB41BC0" w:rsidR="00314915" w:rsidRDefault="00314915" w:rsidP="00314915">
      <w:pPr>
        <w:pStyle w:val="ListParagraph"/>
        <w:numPr>
          <w:ilvl w:val="0"/>
          <w:numId w:val="49"/>
        </w:numPr>
      </w:pPr>
      <w:r>
        <w:t>$17</w:t>
      </w:r>
      <w:r w:rsidR="0040313B">
        <w:t xml:space="preserve"> </w:t>
      </w:r>
      <w:r>
        <w:t xml:space="preserve">590 (9%) allocated to </w:t>
      </w:r>
      <w:r w:rsidR="00BE0CEE">
        <w:t>one</w:t>
      </w:r>
      <w:r>
        <w:t xml:space="preserve"> Aboriginal project</w:t>
      </w:r>
    </w:p>
    <w:p w14:paraId="0B80B091" w14:textId="334548B0" w:rsidR="00314915" w:rsidRDefault="00314915" w:rsidP="00314915">
      <w:pPr>
        <w:pStyle w:val="ListParagraph"/>
        <w:numPr>
          <w:ilvl w:val="0"/>
          <w:numId w:val="49"/>
        </w:numPr>
      </w:pPr>
      <w:r>
        <w:t>$24</w:t>
      </w:r>
      <w:r w:rsidR="0040313B">
        <w:t xml:space="preserve"> </w:t>
      </w:r>
      <w:r>
        <w:t>410 (</w:t>
      </w:r>
      <w:r w:rsidR="00EE33FF">
        <w:t>12</w:t>
      </w:r>
      <w:r>
        <w:t>%) allocated to 2 first-time applicants to the NT Arts Grants Program</w:t>
      </w:r>
      <w:r w:rsidR="0040313B">
        <w:t>.</w:t>
      </w:r>
    </w:p>
    <w:p w14:paraId="770104B9" w14:textId="3C814BD5" w:rsidR="00614380" w:rsidRDefault="00614380" w:rsidP="00C62A34">
      <w:pPr>
        <w:rPr>
          <w:lang w:eastAsia="en-AU"/>
        </w:rPr>
      </w:pPr>
    </w:p>
    <w:p w14:paraId="3404085D" w14:textId="77777777" w:rsidR="00BE0CEE" w:rsidRDefault="00BE0CEE" w:rsidP="00C62A34">
      <w:pPr>
        <w:rPr>
          <w:lang w:eastAsia="en-AU"/>
        </w:rPr>
        <w:sectPr w:rsidR="00BE0CEE" w:rsidSect="00A567E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4BEBA968" w14:textId="20B4CD1E" w:rsidR="00D967B3" w:rsidRDefault="00D967B3" w:rsidP="00D967B3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lastRenderedPageBreak/>
        <w:t>Successful applicants</w:t>
      </w:r>
    </w:p>
    <w:tbl>
      <w:tblPr>
        <w:tblStyle w:val="ListTable3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8385"/>
        <w:gridCol w:w="1985"/>
        <w:gridCol w:w="1984"/>
      </w:tblGrid>
      <w:tr w:rsidR="00D967B3" w14:paraId="48CF95E7" w14:textId="77777777" w:rsidTr="00763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5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BA80410" w14:textId="3E68348B" w:rsidR="00D967B3" w:rsidRDefault="00D967B3" w:rsidP="00BE0CEE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Recipient</w:t>
            </w:r>
          </w:p>
        </w:tc>
        <w:tc>
          <w:tcPr>
            <w:tcW w:w="8385" w:type="dxa"/>
            <w:vAlign w:val="center"/>
          </w:tcPr>
          <w:p w14:paraId="27B0D5BF" w14:textId="5B08F86F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Project</w:t>
            </w:r>
          </w:p>
        </w:tc>
        <w:tc>
          <w:tcPr>
            <w:tcW w:w="1985" w:type="dxa"/>
            <w:vAlign w:val="center"/>
          </w:tcPr>
          <w:p w14:paraId="4604C4A5" w14:textId="0BDF3404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Applicant region</w:t>
            </w:r>
          </w:p>
        </w:tc>
        <w:tc>
          <w:tcPr>
            <w:tcW w:w="1984" w:type="dxa"/>
            <w:vAlign w:val="center"/>
          </w:tcPr>
          <w:p w14:paraId="3FF8D9FD" w14:textId="737C245D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</w:t>
            </w:r>
            <w:r w:rsidR="00BE0CEE">
              <w:rPr>
                <w:lang w:eastAsia="en-AU"/>
              </w:rPr>
              <w:t>recommended</w:t>
            </w:r>
          </w:p>
        </w:tc>
      </w:tr>
      <w:tr w:rsidR="00D967B3" w14:paraId="0D0B7050" w14:textId="77777777" w:rsidTr="00763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AC05FF" w14:textId="77777777" w:rsidR="00BE0CEE" w:rsidRDefault="00BE0CEE" w:rsidP="00BE0CEE">
            <w:pPr>
              <w:jc w:val="center"/>
            </w:pPr>
          </w:p>
          <w:p w14:paraId="388D99D7" w14:textId="77777777" w:rsidR="00D967B3" w:rsidRDefault="00D967B3" w:rsidP="00BE0CEE">
            <w:pPr>
              <w:jc w:val="center"/>
            </w:pPr>
            <w:r w:rsidRPr="00D967B3">
              <w:rPr>
                <w:b w:val="0"/>
                <w:bCs w:val="0"/>
              </w:rPr>
              <w:t>Artback NT Incorporated administering grant on behalf of Tara Rostron</w:t>
            </w:r>
          </w:p>
          <w:p w14:paraId="5EB69456" w14:textId="6FB2BA8F" w:rsidR="00BE0CEE" w:rsidRPr="00D967B3" w:rsidRDefault="00BE0CEE" w:rsidP="00BE0CEE">
            <w:pPr>
              <w:jc w:val="center"/>
              <w:rPr>
                <w:b w:val="0"/>
                <w:bCs w:val="0"/>
                <w:lang w:eastAsia="en-AU"/>
              </w:rPr>
            </w:pPr>
          </w:p>
        </w:tc>
        <w:tc>
          <w:tcPr>
            <w:tcW w:w="83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E70006" w14:textId="4386BCA0" w:rsidR="00D967B3" w:rsidRP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Ripple Effect Band MAYAWA Tour 2024</w:t>
            </w:r>
          </w:p>
          <w:p w14:paraId="1D6583C8" w14:textId="5CAA3AE3" w:rsidR="00BE0CEE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for the </w:t>
            </w:r>
            <w:r w:rsidR="007919C3" w:rsidRPr="00314915">
              <w:t>N</w:t>
            </w:r>
            <w:r w:rsidR="007919C3">
              <w:t>orthern Territory</w:t>
            </w:r>
            <w:r w:rsidR="007919C3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leg of a tour of Maningrida-based all-woman Ripple Effect Band, to follow-up the 2024 launch of their first album, ‘</w:t>
            </w:r>
            <w:proofErr w:type="spellStart"/>
            <w:r>
              <w:rPr>
                <w:lang w:eastAsia="en-AU"/>
              </w:rPr>
              <w:t>Mayawa</w:t>
            </w:r>
            <w:proofErr w:type="spellEnd"/>
            <w:r>
              <w:rPr>
                <w:lang w:eastAsia="en-AU"/>
              </w:rPr>
              <w:t>’.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7D4FA5" w14:textId="55DF3042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Top End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654B6E" w14:textId="117A4FB7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$17</w:t>
            </w:r>
            <w:r w:rsidR="008A51F1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590</w:t>
            </w:r>
          </w:p>
        </w:tc>
      </w:tr>
      <w:tr w:rsidR="00D967B3" w14:paraId="6827FB5A" w14:textId="77777777" w:rsidTr="007636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right w:val="none" w:sz="0" w:space="0" w:color="auto"/>
            </w:tcBorders>
            <w:vAlign w:val="center"/>
          </w:tcPr>
          <w:p w14:paraId="0AE06D21" w14:textId="572F3250" w:rsidR="00D967B3" w:rsidRPr="00D967B3" w:rsidRDefault="00D967B3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Tania Lieman</w:t>
            </w:r>
          </w:p>
        </w:tc>
        <w:tc>
          <w:tcPr>
            <w:tcW w:w="8385" w:type="dxa"/>
            <w:vAlign w:val="center"/>
          </w:tcPr>
          <w:p w14:paraId="2A3E99F3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  <w:p w14:paraId="53A8A5C5" w14:textId="3F7E19FD" w:rsidR="00D967B3" w:rsidRP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Seeding – Imme</w:t>
            </w:r>
            <w:r w:rsidR="00BE0CEE">
              <w:rPr>
                <w:b/>
                <w:bCs/>
                <w:lang w:eastAsia="en-AU"/>
              </w:rPr>
              <w:t>r</w:t>
            </w:r>
            <w:r w:rsidRPr="00D967B3">
              <w:rPr>
                <w:b/>
                <w:bCs/>
                <w:lang w:eastAsia="en-AU"/>
              </w:rPr>
              <w:t>se Production by Luminous Productions</w:t>
            </w:r>
          </w:p>
          <w:p w14:paraId="07EC4924" w14:textId="547C812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The production </w:t>
            </w:r>
            <w:r w:rsidR="00BE0CEE">
              <w:rPr>
                <w:lang w:eastAsia="en-AU"/>
              </w:rPr>
              <w:t xml:space="preserve">will </w:t>
            </w:r>
            <w:r>
              <w:rPr>
                <w:lang w:eastAsia="en-AU"/>
              </w:rPr>
              <w:t>creat</w:t>
            </w:r>
            <w:r w:rsidR="00BE0CEE">
              <w:rPr>
                <w:lang w:eastAsia="en-AU"/>
              </w:rPr>
              <w:t>e</w:t>
            </w:r>
            <w:r>
              <w:rPr>
                <w:lang w:eastAsia="en-AU"/>
              </w:rPr>
              <w:t xml:space="preserve"> a new work of interactive, multi-sensory, immersive theatre performance installation made with, by and for people with neurodiversity and disability</w:t>
            </w:r>
            <w:r w:rsidR="00BE0CEE">
              <w:rPr>
                <w:lang w:eastAsia="en-AU"/>
              </w:rPr>
              <w:t>.</w:t>
            </w:r>
          </w:p>
          <w:p w14:paraId="5EC74A14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1E71B8DC" w14:textId="1E56AFE7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Palmerston, Litchfield</w:t>
            </w:r>
          </w:p>
        </w:tc>
        <w:tc>
          <w:tcPr>
            <w:tcW w:w="1984" w:type="dxa"/>
            <w:vAlign w:val="center"/>
          </w:tcPr>
          <w:p w14:paraId="0BCD905D" w14:textId="64214E05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$20</w:t>
            </w:r>
            <w:r w:rsidR="008A51F1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000</w:t>
            </w:r>
          </w:p>
        </w:tc>
      </w:tr>
      <w:tr w:rsidR="00D967B3" w14:paraId="06AB97EE" w14:textId="77777777" w:rsidTr="00763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E2950B" w14:textId="3D99EDD0" w:rsidR="00D967B3" w:rsidRPr="00D967B3" w:rsidRDefault="00D967B3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Red Hot Arts Central Australia Incorporated administering grant on behalf of Betty Sweetlove</w:t>
            </w:r>
          </w:p>
        </w:tc>
        <w:tc>
          <w:tcPr>
            <w:tcW w:w="83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BAB5A5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6613EE66" w14:textId="54E906E7" w:rsidR="00D967B3" w:rsidRP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Theatre Makers Program 2024</w:t>
            </w:r>
          </w:p>
          <w:p w14:paraId="25ADA0EA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An arts initiative in Mparntwe/Alice Springs co-produced by two local artists, Betty Sweetlove and Jasmine Story. The program supports the connection of established, emerging, and first-time theatre makers in the community to enrich theatre skills and provide a hub for researching, developing and making new work.</w:t>
            </w:r>
          </w:p>
          <w:p w14:paraId="6F7CAFAB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6C29CF" w14:textId="13F30B67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8CB93F" w14:textId="5B3B09AF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$20</w:t>
            </w:r>
            <w:r w:rsidR="008A51F1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000</w:t>
            </w:r>
          </w:p>
        </w:tc>
      </w:tr>
      <w:tr w:rsidR="00D967B3" w14:paraId="5F6036FB" w14:textId="77777777" w:rsidTr="007636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right w:val="none" w:sz="0" w:space="0" w:color="auto"/>
            </w:tcBorders>
            <w:vAlign w:val="center"/>
          </w:tcPr>
          <w:p w14:paraId="7FF04A77" w14:textId="37D739BB" w:rsidR="00D967B3" w:rsidRPr="00D967B3" w:rsidRDefault="00D967B3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Sean Pardy</w:t>
            </w:r>
          </w:p>
        </w:tc>
        <w:tc>
          <w:tcPr>
            <w:tcW w:w="8385" w:type="dxa"/>
            <w:vAlign w:val="center"/>
          </w:tcPr>
          <w:p w14:paraId="41D90A4F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  <w:p w14:paraId="4FE21891" w14:textId="4F6A7360" w:rsidR="00D967B3" w:rsidRP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The Toasted Cheese Championships</w:t>
            </w:r>
          </w:p>
          <w:p w14:paraId="2FD54240" w14:textId="1ADBACE9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First stage development of a theatrical experience called The Toasted Sandwich Championships. It is a fast, fun, action-packed competition with moments for reflection and contemplation.</w:t>
            </w:r>
          </w:p>
          <w:p w14:paraId="4065C299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1AE73BBB" w14:textId="0930D1BA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Palmerston, Litchfield</w:t>
            </w:r>
          </w:p>
        </w:tc>
        <w:tc>
          <w:tcPr>
            <w:tcW w:w="1984" w:type="dxa"/>
            <w:vAlign w:val="center"/>
          </w:tcPr>
          <w:p w14:paraId="33EB27BC" w14:textId="35029674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$20</w:t>
            </w:r>
            <w:r w:rsidR="008A51F1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000</w:t>
            </w:r>
          </w:p>
        </w:tc>
      </w:tr>
      <w:tr w:rsidR="00D967B3" w14:paraId="25718930" w14:textId="77777777" w:rsidTr="00763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2A134E" w14:textId="3E6D49C6" w:rsidR="00D967B3" w:rsidRPr="00D967B3" w:rsidRDefault="00D967B3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lastRenderedPageBreak/>
              <w:t>Ashleigh Musk</w:t>
            </w:r>
          </w:p>
        </w:tc>
        <w:tc>
          <w:tcPr>
            <w:tcW w:w="83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3A41F4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0AB5311B" w14:textId="01B09B16" w:rsidR="00D967B3" w:rsidRP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2024 interstate touring of Fertile Ground and SUB, two contemporary dance works created by NT-based artist Ashleigh Musk</w:t>
            </w:r>
          </w:p>
          <w:p w14:paraId="64299AE5" w14:textId="78851F96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Interstate touring of ‘Fertile Ground’ and ‘SUB’, choreographed by Ashleigh Musk, a remote contemporary dance choreographer based in Mparntwe (Alice Springs).</w:t>
            </w:r>
          </w:p>
          <w:p w14:paraId="2E333BD4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8AF919" w14:textId="1C1F8F61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83200E" w14:textId="7020DEEC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$19</w:t>
            </w:r>
            <w:r w:rsidR="003021D7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879</w:t>
            </w:r>
          </w:p>
        </w:tc>
      </w:tr>
      <w:tr w:rsidR="00D967B3" w14:paraId="358F0C94" w14:textId="77777777" w:rsidTr="007636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right w:val="none" w:sz="0" w:space="0" w:color="auto"/>
            </w:tcBorders>
            <w:vAlign w:val="center"/>
          </w:tcPr>
          <w:p w14:paraId="0FA8B096" w14:textId="290118DE" w:rsidR="00D967B3" w:rsidRPr="00D967B3" w:rsidRDefault="00D967B3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James Peter Mangohig</w:t>
            </w:r>
          </w:p>
        </w:tc>
        <w:tc>
          <w:tcPr>
            <w:tcW w:w="8385" w:type="dxa"/>
            <w:vAlign w:val="center"/>
          </w:tcPr>
          <w:p w14:paraId="1B05247B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  <w:p w14:paraId="037A7240" w14:textId="0167D958" w:rsidR="00D967B3" w:rsidRP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T</w:t>
            </w:r>
            <w:r w:rsidR="008A51F1">
              <w:rPr>
                <w:b/>
                <w:bCs/>
                <w:lang w:eastAsia="en-AU"/>
              </w:rPr>
              <w:t>angan Collective</w:t>
            </w:r>
            <w:r w:rsidRPr="00D967B3">
              <w:rPr>
                <w:b/>
                <w:bCs/>
                <w:lang w:eastAsia="en-AU"/>
              </w:rPr>
              <w:t xml:space="preserve"> supporting local Darwin artists in curation/DJ development and events</w:t>
            </w:r>
          </w:p>
          <w:p w14:paraId="0B7DB421" w14:textId="2619BF7F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Renowned curator and DJ - Krystel Diola (Syd) and NT’s Tangan Collective are teaming up for a discounted week-long workshop series for 20 local DJs at "Warehouse 103." Facilitated by local creatives, the sessions cover technical, organic, and performance aspects, fostering a safe and comfortable learning environment. Culminating in a celebratory concert, participants can showcase their skills and build confidence.</w:t>
            </w:r>
          </w:p>
          <w:p w14:paraId="558B1C2B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54C487DE" w14:textId="74B7AB26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Palmerston, Litchfield</w:t>
            </w:r>
          </w:p>
        </w:tc>
        <w:tc>
          <w:tcPr>
            <w:tcW w:w="1984" w:type="dxa"/>
            <w:vAlign w:val="center"/>
          </w:tcPr>
          <w:p w14:paraId="129D3F38" w14:textId="15BFB872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$12</w:t>
            </w:r>
            <w:r w:rsidR="003021D7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300</w:t>
            </w:r>
          </w:p>
        </w:tc>
      </w:tr>
      <w:tr w:rsidR="00D967B3" w14:paraId="08F43D56" w14:textId="77777777" w:rsidTr="00763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3BEF96" w14:textId="2F5542F9" w:rsidR="00D967B3" w:rsidRPr="00D967B3" w:rsidRDefault="00D967B3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Red Hot Arts Central Australia administering on behalf of Katie Harder</w:t>
            </w:r>
          </w:p>
        </w:tc>
        <w:tc>
          <w:tcPr>
            <w:tcW w:w="83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EBE514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0709BF5E" w14:textId="4758135E" w:rsidR="00D967B3" w:rsidRP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Katie Harder ‘Pot Plant’ EP (mentoring in studio production and development of ‘The Sound Pit’)</w:t>
            </w:r>
          </w:p>
          <w:p w14:paraId="1BFF3552" w14:textId="09A2048A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Development and creation of Katie Harder’s new alt-folk EP (6 tracks) in Mparntwe/Alice Springs, collaborating with 9 </w:t>
            </w:r>
            <w:r w:rsidR="007919C3" w:rsidRPr="00314915">
              <w:t>N</w:t>
            </w:r>
            <w:r w:rsidR="007919C3">
              <w:t>orthern Territory</w:t>
            </w:r>
            <w:r w:rsidR="007919C3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artists, plus mentoring from award winning audio engineers; Dave Crowe and Ben Allen.</w:t>
            </w:r>
          </w:p>
          <w:p w14:paraId="2162F9DA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17E80D" w14:textId="196F50E1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2E1BFB" w14:textId="45A8CCAA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$20</w:t>
            </w:r>
            <w:r w:rsidR="003021D7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000</w:t>
            </w:r>
          </w:p>
        </w:tc>
      </w:tr>
      <w:tr w:rsidR="00D967B3" w14:paraId="5AAADF69" w14:textId="77777777" w:rsidTr="007636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right w:val="none" w:sz="0" w:space="0" w:color="auto"/>
            </w:tcBorders>
            <w:vAlign w:val="center"/>
          </w:tcPr>
          <w:p w14:paraId="1CE1B4DB" w14:textId="2CBFE145" w:rsidR="00D967B3" w:rsidRPr="00D967B3" w:rsidRDefault="00D967B3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Sandra Thibodeaux</w:t>
            </w:r>
          </w:p>
        </w:tc>
        <w:tc>
          <w:tcPr>
            <w:tcW w:w="8385" w:type="dxa"/>
            <w:vAlign w:val="center"/>
          </w:tcPr>
          <w:p w14:paraId="509CC79E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  <w:p w14:paraId="4775CA74" w14:textId="0D4FFCAA" w:rsidR="00D967B3" w:rsidRP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Genius – 2025 Production</w:t>
            </w:r>
          </w:p>
          <w:p w14:paraId="0CE49A3D" w14:textId="2794CF1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Genius is a new Dark Comedy, written by Sandra Thibodeaux, directed by Nicky Fearn, and co-produced by Thibodeaux, JUTE Theatre Company and Simona Cosentini. Inspired by the life and work of painter Artemisia Gentileschi, </w:t>
            </w:r>
            <w:r w:rsidR="00816C46">
              <w:rPr>
                <w:lang w:eastAsia="en-AU"/>
              </w:rPr>
              <w:t>t</w:t>
            </w:r>
            <w:r w:rsidR="00816C46" w:rsidRPr="00816C46">
              <w:rPr>
                <w:lang w:eastAsia="en-AU"/>
              </w:rPr>
              <w:t>he 2024 co-production features seasons in Darwin/Garrmalang and Cairns/Gimuy, alongside a North Q</w:t>
            </w:r>
            <w:r w:rsidR="007919C3">
              <w:rPr>
                <w:lang w:eastAsia="en-AU"/>
              </w:rPr>
              <w:t>ueensland</w:t>
            </w:r>
            <w:r w:rsidR="00816C46" w:rsidRPr="00816C46">
              <w:rPr>
                <w:lang w:eastAsia="en-AU"/>
              </w:rPr>
              <w:t xml:space="preserve"> regional tour.</w:t>
            </w:r>
          </w:p>
          <w:p w14:paraId="19E3FA45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5A04F232" w14:textId="417A52B3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Top End</w:t>
            </w:r>
          </w:p>
        </w:tc>
        <w:tc>
          <w:tcPr>
            <w:tcW w:w="1984" w:type="dxa"/>
            <w:vAlign w:val="center"/>
          </w:tcPr>
          <w:p w14:paraId="0ACC4CCC" w14:textId="2EED3694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$20</w:t>
            </w:r>
            <w:r w:rsidR="003021D7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000</w:t>
            </w:r>
          </w:p>
        </w:tc>
      </w:tr>
    </w:tbl>
    <w:p w14:paraId="201F6558" w14:textId="77777777" w:rsidR="004A6875" w:rsidRDefault="004A6875">
      <w:r>
        <w:rPr>
          <w:b/>
          <w:bCs/>
        </w:rPr>
        <w:br w:type="page"/>
      </w:r>
    </w:p>
    <w:tbl>
      <w:tblPr>
        <w:tblStyle w:val="ListTable3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8385"/>
        <w:gridCol w:w="1985"/>
        <w:gridCol w:w="1984"/>
      </w:tblGrid>
      <w:tr w:rsidR="004A6875" w:rsidRPr="004A6875" w14:paraId="019A4076" w14:textId="77777777" w:rsidTr="004A6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5" w:type="dxa"/>
            <w:shd w:val="clear" w:color="auto" w:fill="auto"/>
            <w:vAlign w:val="center"/>
          </w:tcPr>
          <w:p w14:paraId="6849ACEA" w14:textId="5697FF06" w:rsidR="00D967B3" w:rsidRPr="004A6875" w:rsidRDefault="00D967B3" w:rsidP="00816C46">
            <w:pPr>
              <w:jc w:val="center"/>
              <w:rPr>
                <w:b w:val="0"/>
                <w:bCs w:val="0"/>
                <w:color w:val="auto"/>
                <w:lang w:eastAsia="en-AU"/>
              </w:rPr>
            </w:pPr>
            <w:r w:rsidRPr="004A6875">
              <w:rPr>
                <w:b w:val="0"/>
                <w:bCs w:val="0"/>
                <w:color w:val="auto"/>
              </w:rPr>
              <w:lastRenderedPageBreak/>
              <w:t>Andrew Grimes</w:t>
            </w:r>
          </w:p>
        </w:tc>
        <w:tc>
          <w:tcPr>
            <w:tcW w:w="8385" w:type="dxa"/>
            <w:shd w:val="clear" w:color="auto" w:fill="auto"/>
            <w:vAlign w:val="center"/>
          </w:tcPr>
          <w:p w14:paraId="71EDAE41" w14:textId="10606EB9" w:rsidR="00D967B3" w:rsidRPr="004A6875" w:rsidRDefault="00D967B3" w:rsidP="002A5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eastAsia="en-AU"/>
              </w:rPr>
            </w:pPr>
            <w:r w:rsidRPr="004A6875">
              <w:rPr>
                <w:color w:val="auto"/>
                <w:lang w:eastAsia="en-AU"/>
              </w:rPr>
              <w:t>Andrew Gurruwiwi Band 2nd Album Preproduction</w:t>
            </w:r>
          </w:p>
          <w:p w14:paraId="4642E5BB" w14:textId="2004EED6" w:rsidR="00D967B3" w:rsidRPr="004A6875" w:rsidRDefault="00D967B3" w:rsidP="002A5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eastAsia="en-AU"/>
              </w:rPr>
            </w:pPr>
            <w:r w:rsidRPr="004A6875">
              <w:rPr>
                <w:b w:val="0"/>
                <w:bCs w:val="0"/>
                <w:color w:val="auto"/>
                <w:lang w:eastAsia="en-AU"/>
              </w:rPr>
              <w:t>With the band spread out between the East Arnhem Land communities of Yirrkala, Birritjimi, Gunyaŋara, Galiwin'ku and Darwin, this project will see them assemble in Nhulunbuy for a week of writing and pre-production. The band will have an opportunity to consolidate their new material, create new works, and record multi track demos.</w:t>
            </w:r>
          </w:p>
          <w:p w14:paraId="6D7B6AD1" w14:textId="77777777" w:rsidR="00D967B3" w:rsidRPr="004A6875" w:rsidRDefault="00D967B3" w:rsidP="002A5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BDBDA7" w14:textId="3C0836F1" w:rsidR="00D967B3" w:rsidRPr="004A6875" w:rsidRDefault="00D967B3" w:rsidP="00816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eastAsia="en-AU"/>
              </w:rPr>
            </w:pPr>
            <w:r w:rsidRPr="004A6875">
              <w:rPr>
                <w:b w:val="0"/>
                <w:bCs w:val="0"/>
                <w:color w:val="auto"/>
                <w:lang w:eastAsia="en-AU"/>
              </w:rPr>
              <w:t>East Arnhem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216E89" w14:textId="6D04FCFA" w:rsidR="00D967B3" w:rsidRPr="004A6875" w:rsidRDefault="00D967B3" w:rsidP="00816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eastAsia="en-AU"/>
              </w:rPr>
            </w:pPr>
            <w:r w:rsidRPr="004A6875">
              <w:rPr>
                <w:b w:val="0"/>
                <w:bCs w:val="0"/>
                <w:color w:val="auto"/>
                <w:lang w:eastAsia="en-AU"/>
              </w:rPr>
              <w:t>$15</w:t>
            </w:r>
            <w:r w:rsidR="003021D7" w:rsidRPr="004A6875">
              <w:rPr>
                <w:b w:val="0"/>
                <w:bCs w:val="0"/>
                <w:color w:val="auto"/>
                <w:lang w:eastAsia="en-AU"/>
              </w:rPr>
              <w:t xml:space="preserve"> </w:t>
            </w:r>
            <w:r w:rsidRPr="004A6875">
              <w:rPr>
                <w:b w:val="0"/>
                <w:bCs w:val="0"/>
                <w:color w:val="auto"/>
                <w:lang w:eastAsia="en-AU"/>
              </w:rPr>
              <w:t>000</w:t>
            </w:r>
          </w:p>
        </w:tc>
      </w:tr>
      <w:tr w:rsidR="00D967B3" w14:paraId="1568CCA4" w14:textId="77777777" w:rsidTr="00763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right w:val="none" w:sz="0" w:space="0" w:color="auto"/>
            </w:tcBorders>
            <w:vAlign w:val="center"/>
          </w:tcPr>
          <w:p w14:paraId="15A7954F" w14:textId="05F5AF98" w:rsidR="00D967B3" w:rsidRPr="00D967B3" w:rsidRDefault="00D967B3" w:rsidP="00816C46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Gretel Bull</w:t>
            </w:r>
          </w:p>
        </w:tc>
        <w:tc>
          <w:tcPr>
            <w:tcW w:w="8385" w:type="dxa"/>
            <w:vAlign w:val="center"/>
          </w:tcPr>
          <w:p w14:paraId="4C6E3C57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74BCE5A6" w14:textId="59B69490" w:rsidR="00D967B3" w:rsidRP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Life-casting mentoring with Bec Selleck</w:t>
            </w:r>
          </w:p>
          <w:p w14:paraId="5C3E01C8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This project is an intensive mentorship between Northern Territory-based artist Gretel Bull (mentee) and renowned contemporary sculptor, Bec Selleck (mentor). Throughout the project, Gretel will receive mentoring focussing on skills development in highly specialised, experimental life-casting techniques, including complex multi-part mould-making and casting in a range of specialised materials including wax, resin, and bronze.</w:t>
            </w:r>
          </w:p>
          <w:p w14:paraId="5917B225" w14:textId="5F5FC29A" w:rsidR="00816C46" w:rsidRDefault="00816C46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7D1A0E7E" w14:textId="530EC0CB" w:rsidR="00D967B3" w:rsidRDefault="00D967B3" w:rsidP="008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984" w:type="dxa"/>
            <w:vAlign w:val="center"/>
          </w:tcPr>
          <w:p w14:paraId="6BAAE039" w14:textId="44F18FB4" w:rsidR="00D967B3" w:rsidRDefault="00D967B3" w:rsidP="008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$19</w:t>
            </w:r>
            <w:r w:rsidR="003021D7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999</w:t>
            </w:r>
          </w:p>
        </w:tc>
      </w:tr>
      <w:tr w:rsidR="00D967B3" w14:paraId="312A9FD0" w14:textId="77777777" w:rsidTr="007636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right w:val="none" w:sz="0" w:space="0" w:color="auto"/>
            </w:tcBorders>
            <w:vAlign w:val="center"/>
          </w:tcPr>
          <w:p w14:paraId="707F72A3" w14:textId="563249F0" w:rsidR="00D967B3" w:rsidRPr="00D967B3" w:rsidRDefault="00D967B3" w:rsidP="00816C46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Amy Hetherington</w:t>
            </w:r>
          </w:p>
        </w:tc>
        <w:tc>
          <w:tcPr>
            <w:tcW w:w="8385" w:type="dxa"/>
            <w:vAlign w:val="center"/>
          </w:tcPr>
          <w:p w14:paraId="309EB310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  <w:p w14:paraId="132619DE" w14:textId="000A9264" w:rsidR="00D967B3" w:rsidRP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Amy Hetherington Edinburgh Fringe 2024</w:t>
            </w:r>
          </w:p>
          <w:p w14:paraId="13925919" w14:textId="77777777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 comedian Amy Hetherington is taking her award-winning comedy show “Juggle” to the Edinburgh Fringe Festival in 2024.</w:t>
            </w:r>
          </w:p>
          <w:p w14:paraId="645DC6DB" w14:textId="1D3E3E72" w:rsidR="00D967B3" w:rsidRDefault="00D967B3" w:rsidP="002A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7CA2B245" w14:textId="7EF1A73C" w:rsidR="00D967B3" w:rsidRDefault="00D967B3" w:rsidP="0081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Palmerston, Litchfield</w:t>
            </w:r>
          </w:p>
        </w:tc>
        <w:tc>
          <w:tcPr>
            <w:tcW w:w="1984" w:type="dxa"/>
            <w:vAlign w:val="center"/>
          </w:tcPr>
          <w:p w14:paraId="089E04CB" w14:textId="0A0D6344" w:rsidR="00D967B3" w:rsidRDefault="00D967B3" w:rsidP="0081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$10</w:t>
            </w:r>
            <w:r w:rsidR="003021D7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822</w:t>
            </w:r>
          </w:p>
        </w:tc>
      </w:tr>
      <w:tr w:rsidR="00D967B3" w14:paraId="32BE050F" w14:textId="77777777" w:rsidTr="00763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right w:val="none" w:sz="0" w:space="0" w:color="auto"/>
            </w:tcBorders>
            <w:vAlign w:val="center"/>
          </w:tcPr>
          <w:p w14:paraId="4B41ADA7" w14:textId="7070C2D6" w:rsidR="00D967B3" w:rsidRPr="00D967B3" w:rsidRDefault="00D967B3" w:rsidP="00816C46">
            <w:pPr>
              <w:jc w:val="center"/>
              <w:rPr>
                <w:b w:val="0"/>
                <w:bCs w:val="0"/>
                <w:lang w:eastAsia="en-AU"/>
              </w:rPr>
            </w:pPr>
            <w:r w:rsidRPr="00D967B3">
              <w:rPr>
                <w:b w:val="0"/>
                <w:bCs w:val="0"/>
              </w:rPr>
              <w:t>Mikaila Rodgers</w:t>
            </w:r>
          </w:p>
        </w:tc>
        <w:tc>
          <w:tcPr>
            <w:tcW w:w="8385" w:type="dxa"/>
            <w:vAlign w:val="center"/>
          </w:tcPr>
          <w:p w14:paraId="0360FC7E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65BF5A8F" w14:textId="6D12C01D" w:rsidR="00D967B3" w:rsidRP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D967B3">
              <w:rPr>
                <w:b/>
                <w:bCs/>
                <w:lang w:eastAsia="en-AU"/>
              </w:rPr>
              <w:t>Showcasing glaze: an investigation into ceramic possibilities</w:t>
            </w:r>
          </w:p>
          <w:p w14:paraId="6CAB513A" w14:textId="77777777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Mikaila Rodgers, an emerging ceramic artist, specialises in layered 'special effect' glazes. The project involves enhancing their skills in glaze development and creating a new body of exhibition-focused work to showcase their innovative glaze range.</w:t>
            </w:r>
          </w:p>
          <w:p w14:paraId="31AFB743" w14:textId="79020673" w:rsidR="00D967B3" w:rsidRDefault="00D967B3" w:rsidP="002A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3D1645C7" w14:textId="372B9C54" w:rsidR="00D967B3" w:rsidRDefault="00D967B3" w:rsidP="008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984" w:type="dxa"/>
            <w:vAlign w:val="center"/>
          </w:tcPr>
          <w:p w14:paraId="1A7FC53A" w14:textId="7C54D6AF" w:rsidR="00D967B3" w:rsidRDefault="00D967B3" w:rsidP="008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$4</w:t>
            </w:r>
            <w:r w:rsidR="003021D7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410</w:t>
            </w:r>
          </w:p>
        </w:tc>
      </w:tr>
    </w:tbl>
    <w:p w14:paraId="5E6B0D57" w14:textId="77777777" w:rsidR="00D967B3" w:rsidRPr="00C62A34" w:rsidRDefault="00D967B3" w:rsidP="00C62A34">
      <w:pPr>
        <w:rPr>
          <w:lang w:eastAsia="en-AU"/>
        </w:rPr>
      </w:pPr>
    </w:p>
    <w:sectPr w:rsidR="00D967B3" w:rsidRPr="00C62A34" w:rsidSect="00BE0CEE"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456D" w14:textId="77777777" w:rsidR="00354158" w:rsidRDefault="00354158" w:rsidP="007332FF">
      <w:r>
        <w:separator/>
      </w:r>
    </w:p>
  </w:endnote>
  <w:endnote w:type="continuationSeparator" w:id="0">
    <w:p w14:paraId="6D8C2103" w14:textId="77777777" w:rsidR="00354158" w:rsidRDefault="0035415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2F8E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0E0CDB48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4DE46B5" w14:textId="247C8746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F370DC">
                <w:rPr>
                  <w:rStyle w:val="PageNumber"/>
                  <w:b/>
                </w:rPr>
                <w:t>Territory Families, Housing and Communities</w:t>
              </w:r>
            </w:sdtContent>
          </w:sdt>
        </w:p>
        <w:p w14:paraId="6E4B6BB6" w14:textId="01F70616" w:rsidR="00D47DC7" w:rsidRPr="00CE6614" w:rsidRDefault="00D85DA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4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370DC">
                <w:rPr>
                  <w:rStyle w:val="PageNumber"/>
                </w:rPr>
                <w:t>30 April 2024</w:t>
              </w:r>
            </w:sdtContent>
          </w:sdt>
        </w:p>
        <w:p w14:paraId="5E701CC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E451C98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FEA1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2A1313F3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0DC429ED" w14:textId="3886E83C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Emphasis"/>
              </w:rPr>
            </w:sdtEndPr>
            <w:sdtContent>
              <w:r w:rsidR="00F370DC" w:rsidRPr="00F370DC">
                <w:rPr>
                  <w:rStyle w:val="Emphasis"/>
                  <w:rFonts w:ascii="Arial" w:hAnsi="Arial" w:cs="Arial"/>
                  <w:b/>
                  <w:bCs/>
                  <w:i w:val="0"/>
                  <w:iCs w:val="0"/>
                  <w:color w:val="5F6368"/>
                  <w:sz w:val="21"/>
                  <w:szCs w:val="21"/>
                  <w:shd w:val="clear" w:color="auto" w:fill="FFFFFF"/>
                </w:rPr>
                <w:t>Territory Families, Housing and Communities</w:t>
              </w:r>
            </w:sdtContent>
          </w:sdt>
        </w:p>
        <w:p w14:paraId="39892EDB" w14:textId="5476BE21" w:rsidR="00D47DC7" w:rsidRPr="00CE6614" w:rsidRDefault="00D85DA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4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370DC">
                <w:rPr>
                  <w:rStyle w:val="PageNumber"/>
                </w:rPr>
                <w:t>30 April 2024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14:paraId="5ED76584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85E709E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171B3B4" wp14:editId="4207CB8B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8F10DB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A6D9" w14:textId="77777777" w:rsidR="00354158" w:rsidRDefault="00354158" w:rsidP="007332FF">
      <w:r>
        <w:separator/>
      </w:r>
    </w:p>
  </w:footnote>
  <w:footnote w:type="continuationSeparator" w:id="0">
    <w:p w14:paraId="2115364D" w14:textId="77777777" w:rsidR="00354158" w:rsidRDefault="0035415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9C72" w14:textId="45FAE52A" w:rsidR="00983000" w:rsidRPr="00162207" w:rsidRDefault="00D85DA9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0CEE">
          <w:t>2023-24 Arts Projects Round 2 Awarded Grants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6BD32CC7" w14:textId="01A73919" w:rsidR="00E54F9E" w:rsidRDefault="00D967B3" w:rsidP="00435082">
        <w:pPr>
          <w:pStyle w:val="Title"/>
        </w:pPr>
        <w:r>
          <w:rPr>
            <w:rStyle w:val="TitleChar"/>
          </w:rPr>
          <w:t xml:space="preserve">2023-24 Arts Projects Round </w:t>
        </w:r>
        <w:r w:rsidR="00BE0CEE">
          <w:rPr>
            <w:rStyle w:val="TitleChar"/>
          </w:rPr>
          <w:t>2</w:t>
        </w:r>
        <w:r>
          <w:rPr>
            <w:rStyle w:val="TitleChar"/>
          </w:rPr>
          <w:t xml:space="preserve"> Awarded Grants </w:t>
        </w:r>
        <w:r w:rsidR="00BE0CEE">
          <w:rPr>
            <w:rStyle w:val="TitleChar"/>
          </w:rPr>
          <w:t>r</w:t>
        </w:r>
        <w:r>
          <w:rPr>
            <w:rStyle w:val="TitleChar"/>
          </w:rPr>
          <w:t>eport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0529A8"/>
    <w:multiLevelType w:val="hybridMultilevel"/>
    <w:tmpl w:val="92E28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C861039"/>
    <w:multiLevelType w:val="hybridMultilevel"/>
    <w:tmpl w:val="F7922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14049899">
    <w:abstractNumId w:val="33"/>
  </w:num>
  <w:num w:numId="2" w16cid:durableId="1676834813">
    <w:abstractNumId w:val="21"/>
  </w:num>
  <w:num w:numId="3" w16cid:durableId="1501235824">
    <w:abstractNumId w:val="73"/>
  </w:num>
  <w:num w:numId="4" w16cid:durableId="824131391">
    <w:abstractNumId w:val="44"/>
  </w:num>
  <w:num w:numId="5" w16cid:durableId="610473799">
    <w:abstractNumId w:val="27"/>
  </w:num>
  <w:num w:numId="6" w16cid:durableId="231277642">
    <w:abstractNumId w:val="15"/>
  </w:num>
  <w:num w:numId="7" w16cid:durableId="253244659">
    <w:abstractNumId w:val="49"/>
  </w:num>
  <w:num w:numId="8" w16cid:durableId="398479256">
    <w:abstractNumId w:val="24"/>
  </w:num>
  <w:num w:numId="9" w16cid:durableId="1612934334">
    <w:abstractNumId w:val="56"/>
  </w:num>
  <w:num w:numId="10" w16cid:durableId="2005013355">
    <w:abstractNumId w:val="20"/>
  </w:num>
  <w:num w:numId="11" w16cid:durableId="741100303">
    <w:abstractNumId w:val="62"/>
  </w:num>
  <w:num w:numId="12" w16cid:durableId="1178035178">
    <w:abstractNumId w:val="17"/>
  </w:num>
  <w:num w:numId="13" w16cid:durableId="407774435">
    <w:abstractNumId w:val="1"/>
  </w:num>
  <w:num w:numId="14" w16cid:durableId="1859005150">
    <w:abstractNumId w:val="60"/>
  </w:num>
  <w:num w:numId="15" w16cid:durableId="1639846233">
    <w:abstractNumId w:val="26"/>
  </w:num>
  <w:num w:numId="16" w16cid:durableId="2001928545">
    <w:abstractNumId w:val="61"/>
  </w:num>
  <w:num w:numId="17" w16cid:durableId="1613777986">
    <w:abstractNumId w:val="71"/>
  </w:num>
  <w:num w:numId="18" w16cid:durableId="967707739">
    <w:abstractNumId w:val="55"/>
  </w:num>
  <w:num w:numId="19" w16cid:durableId="1809277891">
    <w:abstractNumId w:val="47"/>
  </w:num>
  <w:num w:numId="20" w16cid:durableId="1699354142">
    <w:abstractNumId w:val="51"/>
  </w:num>
  <w:num w:numId="21" w16cid:durableId="177551073">
    <w:abstractNumId w:val="39"/>
  </w:num>
  <w:num w:numId="22" w16cid:durableId="394595039">
    <w:abstractNumId w:val="54"/>
  </w:num>
  <w:num w:numId="23" w16cid:durableId="1687512241">
    <w:abstractNumId w:val="46"/>
  </w:num>
  <w:num w:numId="24" w16cid:durableId="1881090464">
    <w:abstractNumId w:val="41"/>
  </w:num>
  <w:num w:numId="25" w16cid:durableId="1119033219">
    <w:abstractNumId w:val="37"/>
  </w:num>
  <w:num w:numId="26" w16cid:durableId="2017733641">
    <w:abstractNumId w:val="10"/>
  </w:num>
  <w:num w:numId="27" w16cid:durableId="123618710">
    <w:abstractNumId w:val="72"/>
  </w:num>
  <w:num w:numId="28" w16cid:durableId="1139958293">
    <w:abstractNumId w:val="35"/>
  </w:num>
  <w:num w:numId="29" w16cid:durableId="782696563">
    <w:abstractNumId w:val="28"/>
  </w:num>
  <w:num w:numId="30" w16cid:durableId="1370760223">
    <w:abstractNumId w:val="0"/>
  </w:num>
  <w:num w:numId="31" w16cid:durableId="716659615">
    <w:abstractNumId w:val="40"/>
  </w:num>
  <w:num w:numId="32" w16cid:durableId="1405224547">
    <w:abstractNumId w:val="9"/>
  </w:num>
  <w:num w:numId="33" w16cid:durableId="1398623318">
    <w:abstractNumId w:val="63"/>
  </w:num>
  <w:num w:numId="34" w16cid:durableId="463542124">
    <w:abstractNumId w:val="31"/>
  </w:num>
  <w:num w:numId="35" w16cid:durableId="1153180912">
    <w:abstractNumId w:val="48"/>
  </w:num>
  <w:num w:numId="36" w16cid:durableId="2108456301">
    <w:abstractNumId w:val="64"/>
  </w:num>
  <w:num w:numId="37" w16cid:durableId="1481310681">
    <w:abstractNumId w:val="67"/>
  </w:num>
  <w:num w:numId="38" w16cid:durableId="1185173502">
    <w:abstractNumId w:val="14"/>
  </w:num>
  <w:num w:numId="39" w16cid:durableId="1815290457">
    <w:abstractNumId w:val="25"/>
  </w:num>
  <w:num w:numId="40" w16cid:durableId="387148180">
    <w:abstractNumId w:val="68"/>
  </w:num>
  <w:num w:numId="41" w16cid:durableId="323120577">
    <w:abstractNumId w:val="2"/>
  </w:num>
  <w:num w:numId="42" w16cid:durableId="1443963288">
    <w:abstractNumId w:val="59"/>
  </w:num>
  <w:num w:numId="43" w16cid:durableId="1061442801">
    <w:abstractNumId w:val="11"/>
  </w:num>
  <w:num w:numId="44" w16cid:durableId="1109080405">
    <w:abstractNumId w:val="34"/>
  </w:num>
  <w:num w:numId="45" w16cid:durableId="855775178">
    <w:abstractNumId w:val="42"/>
  </w:num>
  <w:num w:numId="46" w16cid:durableId="327754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95068062">
    <w:abstractNumId w:val="7"/>
  </w:num>
  <w:num w:numId="48" w16cid:durableId="2078166178">
    <w:abstractNumId w:val="36"/>
  </w:num>
  <w:num w:numId="49" w16cid:durableId="1813404336">
    <w:abstractNumId w:val="6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3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870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57E4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21D7"/>
    <w:rsid w:val="003037F9"/>
    <w:rsid w:val="0030583E"/>
    <w:rsid w:val="00307FE1"/>
    <w:rsid w:val="00314915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4158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13B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A6875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57B25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62C"/>
    <w:rsid w:val="00763A2D"/>
    <w:rsid w:val="007676A4"/>
    <w:rsid w:val="00777795"/>
    <w:rsid w:val="00783A57"/>
    <w:rsid w:val="00784C92"/>
    <w:rsid w:val="007859CD"/>
    <w:rsid w:val="00785C24"/>
    <w:rsid w:val="007907E4"/>
    <w:rsid w:val="007919C3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6C46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5653"/>
    <w:rsid w:val="00897C94"/>
    <w:rsid w:val="008A4B30"/>
    <w:rsid w:val="008A51F1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0688D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80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07E6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0CEE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7B3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20B4"/>
    <w:rsid w:val="00EC5769"/>
    <w:rsid w:val="00EC7939"/>
    <w:rsid w:val="00EC7D00"/>
    <w:rsid w:val="00ED0304"/>
    <w:rsid w:val="00ED4FF7"/>
    <w:rsid w:val="00ED5B7B"/>
    <w:rsid w:val="00EE33FF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12A3"/>
    <w:rsid w:val="00F370DC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B29BC"/>
  <w15:docId w15:val="{53C810D9-72BE-49DE-B1D0-4A9FC14C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table" w:styleId="ListTable3">
    <w:name w:val="List Table 3"/>
    <w:basedOn w:val="TableNormal"/>
    <w:uiPriority w:val="48"/>
    <w:rsid w:val="00D967B3"/>
    <w:pPr>
      <w:spacing w:after="0"/>
    </w:p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F5F" w:themeFill="text1"/>
      </w:tcPr>
    </w:tblStylePr>
    <w:tblStylePr w:type="lastRow">
      <w:rPr>
        <w:b/>
        <w:bCs/>
      </w:rPr>
      <w:tblPr/>
      <w:tcPr>
        <w:tcBorders>
          <w:top w:val="double" w:sz="4" w:space="0" w:color="1F1F5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F5F" w:themeColor="text1"/>
          <w:right w:val="single" w:sz="4" w:space="0" w:color="1F1F5F" w:themeColor="text1"/>
        </w:tcBorders>
      </w:tcPr>
    </w:tblStylePr>
    <w:tblStylePr w:type="band1Horz">
      <w:tblPr/>
      <w:tcPr>
        <w:tcBorders>
          <w:top w:val="single" w:sz="4" w:space="0" w:color="1F1F5F" w:themeColor="text1"/>
          <w:bottom w:val="single" w:sz="4" w:space="0" w:color="1F1F5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F5F" w:themeColor="text1"/>
          <w:left w:val="nil"/>
        </w:tcBorders>
      </w:tcPr>
    </w:tblStylePr>
    <w:tblStylePr w:type="swCell">
      <w:tblPr/>
      <w:tcPr>
        <w:tcBorders>
          <w:top w:val="double" w:sz="4" w:space="0" w:color="1F1F5F" w:themeColor="text1"/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F370DC"/>
    <w:rPr>
      <w:i/>
      <w:iCs/>
    </w:rPr>
  </w:style>
  <w:style w:type="paragraph" w:styleId="Revision">
    <w:name w:val="Revision"/>
    <w:hidden/>
    <w:uiPriority w:val="99"/>
    <w:semiHidden/>
    <w:rsid w:val="007919C3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4407265862559838"/>
          <c:y val="4.596622028348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1035571692683589E-2"/>
          <c:y val="0.19758970373008425"/>
          <c:w val="0.4394278996051873"/>
          <c:h val="0.7704858285913336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Sub-category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8D-4E99-ACD1-85523A948BAF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8D-4E99-ACD1-85523A948BAF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8D-4E99-ACD1-85523A948BAF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8D-4E99-ACD1-85523A948B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Presentation and Promotion</c:v>
                </c:pt>
                <c:pt idx="1">
                  <c:v>Skills Development</c:v>
                </c:pt>
                <c:pt idx="2">
                  <c:v>Arts Development</c:v>
                </c:pt>
                <c:pt idx="3">
                  <c:v>Emerging Artists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88291</c:v>
                </c:pt>
                <c:pt idx="1">
                  <c:v>52299</c:v>
                </c:pt>
                <c:pt idx="2">
                  <c:v>55000</c:v>
                </c:pt>
                <c:pt idx="3">
                  <c:v>4410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8D-4E99-ACD1-85523A948BA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en-AU"/>
              <a:t>Art form</a:t>
            </a:r>
          </a:p>
        </c:rich>
      </c:tx>
      <c:layout>
        <c:manualLayout>
          <c:xMode val="edge"/>
          <c:yMode val="edge"/>
          <c:x val="0.3154961400866127"/>
          <c:y val="2.6791349773717169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182282500885829E-2"/>
          <c:y val="0.17607577807848443"/>
          <c:w val="0.45648653737525891"/>
          <c:h val="0.6561299052774018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Art Form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AF-4979-BF69-804260D07EA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AF-4979-BF69-804260D07EA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AF-4979-BF69-804260D07EA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AF-4979-BF69-804260D07EA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0AF-4979-BF69-804260D07EA9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0AF-4979-BF69-804260D07E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Visual Arts, Crafts and Design</c:v>
                </c:pt>
                <c:pt idx="1">
                  <c:v>Dance</c:v>
                </c:pt>
                <c:pt idx="2">
                  <c:v>Music</c:v>
                </c:pt>
                <c:pt idx="3">
                  <c:v>Theatre</c:v>
                </c:pt>
                <c:pt idx="4">
                  <c:v>Comedy</c:v>
                </c:pt>
                <c:pt idx="5">
                  <c:v>Community Arts and Cultural Development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24409</c:v>
                </c:pt>
                <c:pt idx="1">
                  <c:v>19879</c:v>
                </c:pt>
                <c:pt idx="2">
                  <c:v>52590</c:v>
                </c:pt>
                <c:pt idx="3">
                  <c:v>60000</c:v>
                </c:pt>
                <c:pt idx="4">
                  <c:v>10822</c:v>
                </c:pt>
                <c:pt idx="5">
                  <c:v>32300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0AF-4979-BF69-804260D07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883332320232704"/>
          <c:y val="0"/>
          <c:w val="0.4185720618475694"/>
          <c:h val="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44153643381660707"/>
          <c:y val="3.72786579683131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094010796193312"/>
          <c:y val="0.19938211358249372"/>
          <c:w val="0.4272976751564499"/>
          <c:h val="0.7049947041801508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Regions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23-4E0A-9896-0E5C6E3134E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23-4E0A-9896-0E5C6E3134E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823-4E0A-9896-0E5C6E3134E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823-4E0A-9896-0E5C6E3134E4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823-4E0A-9896-0E5C6E3134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Darwin, Palmerston, Litchfield</c:v>
                </c:pt>
                <c:pt idx="1">
                  <c:v>Top End</c:v>
                </c:pt>
                <c:pt idx="2">
                  <c:v>East Arnhem</c:v>
                </c:pt>
                <c:pt idx="3">
                  <c:v>Central Australia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63122</c:v>
                </c:pt>
                <c:pt idx="1">
                  <c:v>37590</c:v>
                </c:pt>
                <c:pt idx="2">
                  <c:v>15000</c:v>
                </c:pt>
                <c:pt idx="3">
                  <c:v>84288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823-4E0A-9896-0E5C6E3134E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2024-04-30T00:00:00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FDACC-F636-45D8-AA85-0ABA8B74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5085</Characters>
  <Application>Microsoft Office Word</Application>
  <DocSecurity>0</DocSecurity>
  <Lines>169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2023-24 Arts Projects Round Two Awarded Grants Report</vt:lpstr>
    </vt:vector>
  </TitlesOfParts>
  <Company>Territory Families, Housing and Communities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Arts Projects Round 2 Awarded Grants report</dc:title>
  <dc:creator>Northern Territory Government</dc:creator>
  <cp:lastModifiedBy>Anja Tinapple</cp:lastModifiedBy>
  <cp:revision>2</cp:revision>
  <cp:lastPrinted>2024-05-02T07:49:00Z</cp:lastPrinted>
  <dcterms:created xsi:type="dcterms:W3CDTF">2024-05-16T00:46:00Z</dcterms:created>
  <dcterms:modified xsi:type="dcterms:W3CDTF">2024-05-16T00:46:00Z</dcterms:modified>
</cp:coreProperties>
</file>