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99B" w:rsidRDefault="001F0263" w:rsidP="0016699B">
      <w:pPr>
        <w:jc w:val="both"/>
        <w:rPr>
          <w:noProof/>
          <w:lang w:eastAsia="en-AU"/>
        </w:rPr>
      </w:pPr>
      <w:bookmarkStart w:id="0" w:name="_GoBack"/>
      <w:bookmarkEnd w:id="0"/>
      <w:r>
        <w:rPr>
          <w:noProof/>
          <w:lang w:eastAsia="en-AU"/>
        </w:rPr>
        <w:t xml:space="preserve">The 2021-22 Northern Territory Arts and Culture Grants Program </w:t>
      </w:r>
      <w:r w:rsidR="00534BB2">
        <w:rPr>
          <w:noProof/>
          <w:lang w:eastAsia="en-AU"/>
        </w:rPr>
        <w:t>includes</w:t>
      </w:r>
      <w:r>
        <w:rPr>
          <w:noProof/>
          <w:lang w:eastAsia="en-AU"/>
        </w:rPr>
        <w:t xml:space="preserve"> the </w:t>
      </w:r>
      <w:r w:rsidR="0016699B">
        <w:rPr>
          <w:noProof/>
          <w:lang w:eastAsia="en-AU"/>
        </w:rPr>
        <w:t>Arts Industry Development</w:t>
      </w:r>
      <w:r w:rsidR="00534BB2">
        <w:rPr>
          <w:noProof/>
          <w:lang w:eastAsia="en-AU"/>
        </w:rPr>
        <w:t xml:space="preserve"> category </w:t>
      </w:r>
      <w:r w:rsidR="0016699B">
        <w:rPr>
          <w:noProof/>
          <w:lang w:eastAsia="en-AU"/>
        </w:rPr>
        <w:t>support</w:t>
      </w:r>
      <w:r w:rsidR="00534BB2">
        <w:rPr>
          <w:noProof/>
          <w:lang w:eastAsia="en-AU"/>
        </w:rPr>
        <w:t>ing</w:t>
      </w:r>
      <w:r w:rsidR="0016699B">
        <w:rPr>
          <w:noProof/>
          <w:lang w:eastAsia="en-AU"/>
        </w:rPr>
        <w:t xml:space="preserve"> initiatives that increase the capability, operational capacity and sustainability of the NT arts sector through innovative creative practice and business ingenuity.</w:t>
      </w:r>
    </w:p>
    <w:p w:rsidR="0016699B" w:rsidRDefault="0016699B" w:rsidP="0016699B">
      <w:pPr>
        <w:rPr>
          <w:noProof/>
          <w:lang w:eastAsia="en-AU"/>
        </w:rPr>
      </w:pPr>
      <w:r>
        <w:rPr>
          <w:noProof/>
          <w:lang w:eastAsia="en-AU"/>
        </w:rPr>
        <w:t>The following sub-categories were offered:</w:t>
      </w:r>
      <w:r w:rsidRPr="0016699B">
        <w:rPr>
          <w:noProof/>
          <w:lang w:eastAsia="en-AU"/>
        </w:rPr>
        <w:t xml:space="preserve"> </w:t>
      </w:r>
    </w:p>
    <w:p w:rsidR="0016699B" w:rsidRDefault="0016699B" w:rsidP="004D7459">
      <w:pPr>
        <w:pStyle w:val="ListParagraph"/>
        <w:numPr>
          <w:ilvl w:val="0"/>
          <w:numId w:val="50"/>
        </w:numPr>
        <w:ind w:left="284" w:hanging="284"/>
        <w:rPr>
          <w:noProof/>
          <w:lang w:eastAsia="en-AU"/>
        </w:rPr>
      </w:pPr>
      <w:r w:rsidRPr="004D7459">
        <w:rPr>
          <w:b/>
          <w:noProof/>
          <w:lang w:eastAsia="en-AU"/>
        </w:rPr>
        <w:t>ACCESSIBLE ARTS</w:t>
      </w:r>
      <w:r>
        <w:rPr>
          <w:noProof/>
          <w:lang w:eastAsia="en-AU"/>
        </w:rPr>
        <w:t xml:space="preserve"> - up to $30,000 per applicant to new initiatives that increase the capacity, profile and employment of artists with disability, and increase access to the arts for audiences with disability</w:t>
      </w:r>
    </w:p>
    <w:p w:rsidR="001F0263" w:rsidRDefault="0063481A" w:rsidP="004D7459">
      <w:pPr>
        <w:pStyle w:val="ListParagraph"/>
        <w:numPr>
          <w:ilvl w:val="0"/>
          <w:numId w:val="50"/>
        </w:numPr>
        <w:ind w:left="284" w:hanging="284"/>
        <w:jc w:val="both"/>
        <w:rPr>
          <w:noProof/>
          <w:lang w:eastAsia="en-AU"/>
        </w:rPr>
      </w:pPr>
      <w:r w:rsidRPr="0016699B"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 wp14:anchorId="282884CF" wp14:editId="357BCA93">
            <wp:simplePos x="0" y="0"/>
            <wp:positionH relativeFrom="margin">
              <wp:posOffset>3086735</wp:posOffset>
            </wp:positionH>
            <wp:positionV relativeFrom="paragraph">
              <wp:posOffset>517525</wp:posOffset>
            </wp:positionV>
            <wp:extent cx="3456000" cy="1188000"/>
            <wp:effectExtent l="0" t="0" r="11430" b="1270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99B" w:rsidRPr="004D7459">
        <w:rPr>
          <w:b/>
          <w:noProof/>
          <w:lang w:eastAsia="en-AU"/>
        </w:rPr>
        <w:t>SUCCESSION PLANNING</w:t>
      </w:r>
      <w:r w:rsidR="0016699B">
        <w:rPr>
          <w:noProof/>
          <w:lang w:eastAsia="en-AU"/>
        </w:rPr>
        <w:t xml:space="preserve"> - up to $25,000 per applicant to new initiatives that increase the capacity of organisations and arts and cultural sector to ensure continuity through leadership transition and renewal.</w:t>
      </w:r>
    </w:p>
    <w:p w:rsidR="0016699B" w:rsidRDefault="0016699B" w:rsidP="0016699B">
      <w:pPr>
        <w:pStyle w:val="Heading3"/>
        <w:jc w:val="both"/>
        <w:rPr>
          <w:noProof/>
          <w:lang w:eastAsia="en-AU"/>
        </w:rPr>
      </w:pPr>
      <w:r>
        <w:rPr>
          <w:noProof/>
          <w:lang w:eastAsia="en-AU"/>
        </w:rPr>
        <w:t>$</w:t>
      </w:r>
      <w:r w:rsidR="00106AC3">
        <w:rPr>
          <w:noProof/>
          <w:lang w:eastAsia="en-AU"/>
        </w:rPr>
        <w:t>159,</w:t>
      </w:r>
      <w:r w:rsidR="00540CAC">
        <w:rPr>
          <w:noProof/>
          <w:lang w:eastAsia="en-AU"/>
        </w:rPr>
        <w:t>6</w:t>
      </w:r>
      <w:r w:rsidR="00106AC3">
        <w:rPr>
          <w:noProof/>
          <w:lang w:eastAsia="en-AU"/>
        </w:rPr>
        <w:t>99</w:t>
      </w:r>
      <w:r>
        <w:rPr>
          <w:noProof/>
          <w:lang w:eastAsia="en-AU"/>
        </w:rPr>
        <w:t xml:space="preserve"> in grants awarded</w:t>
      </w:r>
    </w:p>
    <w:p w:rsidR="001F0263" w:rsidRDefault="001F0263" w:rsidP="004D7459">
      <w:pPr>
        <w:rPr>
          <w:noProof/>
          <w:lang w:eastAsia="en-AU"/>
        </w:rPr>
      </w:pPr>
      <w:r>
        <w:rPr>
          <w:noProof/>
          <w:lang w:eastAsia="en-AU"/>
        </w:rPr>
        <w:t>Arts NT received t</w:t>
      </w:r>
      <w:r w:rsidR="0016699B">
        <w:rPr>
          <w:noProof/>
          <w:lang w:eastAsia="en-AU"/>
        </w:rPr>
        <w:t>en eligible applications. $</w:t>
      </w:r>
      <w:r w:rsidR="00106AC3">
        <w:rPr>
          <w:noProof/>
          <w:lang w:eastAsia="en-AU"/>
        </w:rPr>
        <w:t>159,699</w:t>
      </w:r>
      <w:r w:rsidR="0016699B">
        <w:rPr>
          <w:noProof/>
          <w:lang w:eastAsia="en-AU"/>
        </w:rPr>
        <w:t xml:space="preserve"> in funding was </w:t>
      </w:r>
      <w:r>
        <w:rPr>
          <w:noProof/>
          <w:lang w:eastAsia="en-AU"/>
        </w:rPr>
        <w:t xml:space="preserve">awarded to </w:t>
      </w:r>
      <w:r w:rsidR="00106AC3">
        <w:rPr>
          <w:noProof/>
          <w:lang w:eastAsia="en-AU"/>
        </w:rPr>
        <w:t xml:space="preserve">seven </w:t>
      </w:r>
      <w:r>
        <w:rPr>
          <w:noProof/>
          <w:lang w:eastAsia="en-AU"/>
        </w:rPr>
        <w:t xml:space="preserve">successful applicants following recommendations made by the assessment panel. </w:t>
      </w:r>
    </w:p>
    <w:p w:rsidR="001F0263" w:rsidRDefault="00865683" w:rsidP="001F0263">
      <w:pPr>
        <w:pStyle w:val="Heading3"/>
        <w:rPr>
          <w:noProof/>
          <w:lang w:eastAsia="en-AU"/>
        </w:rPr>
      </w:pPr>
      <w:r w:rsidRPr="0016699B">
        <w:rPr>
          <w:noProof/>
          <w:lang w:eastAsia="en-AU"/>
        </w:rPr>
        <w:drawing>
          <wp:anchor distT="0" distB="0" distL="114300" distR="114300" simplePos="0" relativeHeight="251663360" behindDoc="0" locked="0" layoutInCell="1" allowOverlap="1" wp14:anchorId="55A224D5" wp14:editId="486BF2C5">
            <wp:simplePos x="0" y="0"/>
            <wp:positionH relativeFrom="margin">
              <wp:posOffset>3086735</wp:posOffset>
            </wp:positionH>
            <wp:positionV relativeFrom="paragraph">
              <wp:posOffset>5080</wp:posOffset>
            </wp:positionV>
            <wp:extent cx="3456000" cy="1188000"/>
            <wp:effectExtent l="0" t="0" r="11430" b="12700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263">
        <w:rPr>
          <w:noProof/>
          <w:lang w:eastAsia="en-AU"/>
        </w:rPr>
        <w:t>Assessment Panel</w:t>
      </w:r>
    </w:p>
    <w:p w:rsidR="001F0263" w:rsidRDefault="004B6C8E" w:rsidP="001F0263">
      <w:pPr>
        <w:rPr>
          <w:noProof/>
          <w:lang w:eastAsia="en-AU"/>
        </w:rPr>
      </w:pPr>
      <w:r w:rsidRPr="0016699B"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 wp14:anchorId="1F80AF66" wp14:editId="6AD33BDC">
            <wp:simplePos x="0" y="0"/>
            <wp:positionH relativeFrom="margin">
              <wp:posOffset>3088005</wp:posOffset>
            </wp:positionH>
            <wp:positionV relativeFrom="paragraph">
              <wp:posOffset>913765</wp:posOffset>
            </wp:positionV>
            <wp:extent cx="3455670" cy="1993900"/>
            <wp:effectExtent l="0" t="0" r="11430" b="6350"/>
            <wp:wrapSquare wrapText="bothSides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263">
        <w:rPr>
          <w:noProof/>
          <w:lang w:eastAsia="en-AU"/>
        </w:rPr>
        <w:t xml:space="preserve">The assessment panel consisted of </w:t>
      </w:r>
      <w:r w:rsidR="0016699B">
        <w:rPr>
          <w:noProof/>
          <w:lang w:eastAsia="en-AU"/>
        </w:rPr>
        <w:t xml:space="preserve">one </w:t>
      </w:r>
      <w:r w:rsidR="001F0263">
        <w:rPr>
          <w:noProof/>
          <w:lang w:eastAsia="en-AU"/>
        </w:rPr>
        <w:t>senior Northern Territory department delegate</w:t>
      </w:r>
      <w:r w:rsidR="0016699B">
        <w:rPr>
          <w:noProof/>
          <w:lang w:eastAsia="en-AU"/>
        </w:rPr>
        <w:t xml:space="preserve"> </w:t>
      </w:r>
      <w:r w:rsidR="001F0263">
        <w:rPr>
          <w:noProof/>
          <w:lang w:eastAsia="en-AU"/>
        </w:rPr>
        <w:t xml:space="preserve">with expertise in </w:t>
      </w:r>
      <w:r w:rsidR="0016699B">
        <w:rPr>
          <w:noProof/>
          <w:lang w:eastAsia="en-AU"/>
        </w:rPr>
        <w:t>disabi</w:t>
      </w:r>
      <w:r w:rsidR="00106AC3">
        <w:rPr>
          <w:noProof/>
          <w:lang w:eastAsia="en-AU"/>
        </w:rPr>
        <w:t>l</w:t>
      </w:r>
      <w:r w:rsidR="0016699B">
        <w:rPr>
          <w:noProof/>
          <w:lang w:eastAsia="en-AU"/>
        </w:rPr>
        <w:t>ity</w:t>
      </w:r>
      <w:r w:rsidR="00106AC3">
        <w:rPr>
          <w:noProof/>
          <w:lang w:eastAsia="en-AU"/>
        </w:rPr>
        <w:t>,</w:t>
      </w:r>
      <w:r w:rsidR="0016699B">
        <w:rPr>
          <w:noProof/>
          <w:lang w:eastAsia="en-AU"/>
        </w:rPr>
        <w:t xml:space="preserve"> and arts peers </w:t>
      </w:r>
      <w:r w:rsidR="0016699B" w:rsidRPr="0016699B">
        <w:rPr>
          <w:noProof/>
          <w:lang w:eastAsia="en-AU"/>
        </w:rPr>
        <w:t xml:space="preserve">selected from the </w:t>
      </w:r>
      <w:r w:rsidR="00106AC3">
        <w:rPr>
          <w:noProof/>
          <w:lang w:eastAsia="en-AU"/>
        </w:rPr>
        <w:t xml:space="preserve">Arts NT </w:t>
      </w:r>
      <w:r w:rsidR="0016699B" w:rsidRPr="0016699B">
        <w:rPr>
          <w:noProof/>
          <w:lang w:eastAsia="en-AU"/>
        </w:rPr>
        <w:t>Register of Peers. The Register is approved by the Minister</w:t>
      </w:r>
      <w:r w:rsidR="0016699B">
        <w:rPr>
          <w:noProof/>
          <w:lang w:eastAsia="en-AU"/>
        </w:rPr>
        <w:t xml:space="preserve"> for Arts, Culture and Heritage</w:t>
      </w:r>
      <w:r w:rsidR="001F0263">
        <w:rPr>
          <w:noProof/>
          <w:lang w:eastAsia="en-AU"/>
        </w:rPr>
        <w:t xml:space="preserve">. </w:t>
      </w:r>
    </w:p>
    <w:p w:rsidR="001F0263" w:rsidRDefault="001F0263" w:rsidP="001F0263">
      <w:pPr>
        <w:rPr>
          <w:noProof/>
          <w:lang w:eastAsia="en-AU"/>
        </w:rPr>
      </w:pPr>
      <w:r>
        <w:rPr>
          <w:noProof/>
          <w:lang w:eastAsia="en-AU"/>
        </w:rPr>
        <w:t xml:space="preserve">Panels consider the merit of all applications against the published grant category objectives and assessment criteria.  Panels also consider regional spread, and diversity of applicants and project participants. </w:t>
      </w:r>
    </w:p>
    <w:p w:rsidR="001F0263" w:rsidRDefault="001F0263" w:rsidP="001F0263">
      <w:pPr>
        <w:pStyle w:val="Heading3"/>
        <w:rPr>
          <w:noProof/>
          <w:lang w:eastAsia="en-AU"/>
        </w:rPr>
      </w:pPr>
      <w:r>
        <w:rPr>
          <w:noProof/>
          <w:lang w:eastAsia="en-AU"/>
        </w:rPr>
        <w:t>Statistics</w:t>
      </w:r>
    </w:p>
    <w:p w:rsidR="001F0263" w:rsidRDefault="00106AC3" w:rsidP="007141D7">
      <w:pPr>
        <w:pStyle w:val="ListParagraph"/>
        <w:numPr>
          <w:ilvl w:val="0"/>
          <w:numId w:val="48"/>
        </w:numPr>
        <w:ind w:left="284" w:hanging="284"/>
        <w:rPr>
          <w:noProof/>
          <w:lang w:eastAsia="en-AU"/>
        </w:rPr>
      </w:pPr>
      <w:r>
        <w:rPr>
          <w:noProof/>
          <w:lang w:eastAsia="en-AU"/>
        </w:rPr>
        <w:t>Seven</w:t>
      </w:r>
      <w:r w:rsidR="001F0263">
        <w:rPr>
          <w:noProof/>
          <w:lang w:eastAsia="en-AU"/>
        </w:rPr>
        <w:t xml:space="preserve"> fund</w:t>
      </w:r>
      <w:r>
        <w:rPr>
          <w:noProof/>
          <w:lang w:eastAsia="en-AU"/>
        </w:rPr>
        <w:t xml:space="preserve">ed </w:t>
      </w:r>
      <w:r w:rsidR="00540CAC">
        <w:rPr>
          <w:noProof/>
          <w:lang w:eastAsia="en-AU"/>
        </w:rPr>
        <w:t>application</w:t>
      </w:r>
      <w:r w:rsidR="00534BB2">
        <w:rPr>
          <w:noProof/>
          <w:lang w:eastAsia="en-AU"/>
        </w:rPr>
        <w:t>s</w:t>
      </w:r>
      <w:r>
        <w:rPr>
          <w:noProof/>
          <w:lang w:eastAsia="en-AU"/>
        </w:rPr>
        <w:t xml:space="preserve"> (70</w:t>
      </w:r>
      <w:r w:rsidR="0016699B">
        <w:rPr>
          <w:noProof/>
          <w:lang w:eastAsia="en-AU"/>
        </w:rPr>
        <w:t>% success rate)</w:t>
      </w:r>
    </w:p>
    <w:p w:rsidR="0016699B" w:rsidRDefault="00A2780E" w:rsidP="007141D7">
      <w:pPr>
        <w:pStyle w:val="ListParagraph"/>
        <w:numPr>
          <w:ilvl w:val="0"/>
          <w:numId w:val="48"/>
        </w:numPr>
        <w:ind w:left="284" w:hanging="284"/>
        <w:rPr>
          <w:noProof/>
          <w:lang w:eastAsia="en-AU"/>
        </w:rPr>
      </w:pPr>
      <w:r>
        <w:rPr>
          <w:noProof/>
          <w:lang w:eastAsia="en-AU"/>
        </w:rPr>
        <w:t xml:space="preserve">$56,660 </w:t>
      </w:r>
      <w:r w:rsidR="00106AC3">
        <w:rPr>
          <w:noProof/>
          <w:lang w:eastAsia="en-AU"/>
        </w:rPr>
        <w:t>(</w:t>
      </w:r>
      <w:r w:rsidR="00420BD6">
        <w:rPr>
          <w:noProof/>
          <w:lang w:eastAsia="en-AU"/>
        </w:rPr>
        <w:t>35</w:t>
      </w:r>
      <w:r w:rsidR="00106AC3">
        <w:rPr>
          <w:noProof/>
          <w:lang w:eastAsia="en-AU"/>
        </w:rPr>
        <w:t xml:space="preserve">%) </w:t>
      </w:r>
      <w:r>
        <w:rPr>
          <w:noProof/>
          <w:lang w:eastAsia="en-AU"/>
        </w:rPr>
        <w:t xml:space="preserve">of funding awarded supporting two </w:t>
      </w:r>
      <w:r w:rsidR="0016699B">
        <w:rPr>
          <w:noProof/>
          <w:lang w:eastAsia="en-AU"/>
        </w:rPr>
        <w:t>a</w:t>
      </w:r>
      <w:r w:rsidR="00540CAC">
        <w:rPr>
          <w:noProof/>
          <w:lang w:eastAsia="en-AU"/>
        </w:rPr>
        <w:t>ccessible arts</w:t>
      </w:r>
      <w:r w:rsidR="00106AC3">
        <w:rPr>
          <w:noProof/>
          <w:lang w:eastAsia="en-AU"/>
        </w:rPr>
        <w:t xml:space="preserve"> </w:t>
      </w:r>
      <w:r>
        <w:rPr>
          <w:noProof/>
          <w:lang w:eastAsia="en-AU"/>
        </w:rPr>
        <w:t>projects</w:t>
      </w:r>
    </w:p>
    <w:p w:rsidR="0065411D" w:rsidRDefault="0065411D" w:rsidP="007141D7">
      <w:pPr>
        <w:pStyle w:val="ListParagraph"/>
        <w:numPr>
          <w:ilvl w:val="0"/>
          <w:numId w:val="48"/>
        </w:numPr>
        <w:ind w:left="284" w:hanging="284"/>
        <w:rPr>
          <w:noProof/>
          <w:lang w:eastAsia="en-AU"/>
        </w:rPr>
      </w:pPr>
      <w:r>
        <w:rPr>
          <w:noProof/>
          <w:lang w:eastAsia="en-AU"/>
        </w:rPr>
        <w:t>$103,039 (</w:t>
      </w:r>
      <w:r w:rsidR="00420BD6">
        <w:rPr>
          <w:noProof/>
          <w:lang w:eastAsia="en-AU"/>
        </w:rPr>
        <w:t>65</w:t>
      </w:r>
      <w:r>
        <w:rPr>
          <w:noProof/>
          <w:lang w:eastAsia="en-AU"/>
        </w:rPr>
        <w:t>%) of funding awarded supporting five succession planning projects</w:t>
      </w:r>
    </w:p>
    <w:p w:rsidR="001F0263" w:rsidRDefault="001F0263" w:rsidP="007141D7">
      <w:pPr>
        <w:pStyle w:val="ListParagraph"/>
        <w:numPr>
          <w:ilvl w:val="0"/>
          <w:numId w:val="48"/>
        </w:numPr>
        <w:ind w:left="284" w:hanging="284"/>
        <w:rPr>
          <w:noProof/>
          <w:lang w:eastAsia="en-AU"/>
        </w:rPr>
      </w:pPr>
      <w:r>
        <w:rPr>
          <w:noProof/>
          <w:lang w:eastAsia="en-AU"/>
        </w:rPr>
        <w:t>$</w:t>
      </w:r>
      <w:r w:rsidR="00106AC3">
        <w:rPr>
          <w:noProof/>
          <w:lang w:eastAsia="en-AU"/>
        </w:rPr>
        <w:t>139,500</w:t>
      </w:r>
      <w:r>
        <w:rPr>
          <w:noProof/>
          <w:lang w:eastAsia="en-AU"/>
        </w:rPr>
        <w:t xml:space="preserve"> (8</w:t>
      </w:r>
      <w:r w:rsidR="00420BD6">
        <w:rPr>
          <w:noProof/>
          <w:lang w:eastAsia="en-AU"/>
        </w:rPr>
        <w:t>7</w:t>
      </w:r>
      <w:r>
        <w:rPr>
          <w:noProof/>
          <w:lang w:eastAsia="en-AU"/>
        </w:rPr>
        <w:t xml:space="preserve">%) of funding awarded to </w:t>
      </w:r>
      <w:r w:rsidR="00106AC3">
        <w:rPr>
          <w:noProof/>
          <w:lang w:eastAsia="en-AU"/>
        </w:rPr>
        <w:t>six</w:t>
      </w:r>
      <w:r>
        <w:rPr>
          <w:noProof/>
          <w:lang w:eastAsia="en-AU"/>
        </w:rPr>
        <w:t xml:space="preserve"> Greater Darwin applicants</w:t>
      </w:r>
    </w:p>
    <w:p w:rsidR="001F0263" w:rsidRDefault="001F0263" w:rsidP="007141D7">
      <w:pPr>
        <w:pStyle w:val="ListParagraph"/>
        <w:numPr>
          <w:ilvl w:val="0"/>
          <w:numId w:val="48"/>
        </w:numPr>
        <w:ind w:left="284" w:hanging="284"/>
        <w:rPr>
          <w:noProof/>
          <w:lang w:eastAsia="en-AU"/>
        </w:rPr>
      </w:pPr>
      <w:r>
        <w:rPr>
          <w:noProof/>
          <w:lang w:eastAsia="en-AU"/>
        </w:rPr>
        <w:t>$</w:t>
      </w:r>
      <w:r w:rsidR="00106AC3">
        <w:rPr>
          <w:noProof/>
          <w:lang w:eastAsia="en-AU"/>
        </w:rPr>
        <w:t>20,199</w:t>
      </w:r>
      <w:r>
        <w:rPr>
          <w:noProof/>
          <w:lang w:eastAsia="en-AU"/>
        </w:rPr>
        <w:t xml:space="preserve"> (1</w:t>
      </w:r>
      <w:r w:rsidR="00854C64">
        <w:rPr>
          <w:noProof/>
          <w:lang w:eastAsia="en-AU"/>
        </w:rPr>
        <w:t>3</w:t>
      </w:r>
      <w:r>
        <w:rPr>
          <w:noProof/>
          <w:lang w:eastAsia="en-AU"/>
        </w:rPr>
        <w:t>%) of fund</w:t>
      </w:r>
      <w:r w:rsidR="0016699B">
        <w:rPr>
          <w:noProof/>
          <w:lang w:eastAsia="en-AU"/>
        </w:rPr>
        <w:t xml:space="preserve">ing awarded to </w:t>
      </w:r>
      <w:r w:rsidR="00106AC3">
        <w:rPr>
          <w:noProof/>
          <w:lang w:eastAsia="en-AU"/>
        </w:rPr>
        <w:t>one</w:t>
      </w:r>
      <w:r w:rsidR="0016699B">
        <w:rPr>
          <w:noProof/>
          <w:lang w:eastAsia="en-AU"/>
        </w:rPr>
        <w:t xml:space="preserve"> C</w:t>
      </w:r>
      <w:r w:rsidR="00A2780E">
        <w:rPr>
          <w:noProof/>
          <w:lang w:eastAsia="en-AU"/>
        </w:rPr>
        <w:t>entral Australia applicant</w:t>
      </w:r>
    </w:p>
    <w:p w:rsidR="00420BD6" w:rsidRDefault="00420BD6" w:rsidP="00FB6349">
      <w:pPr>
        <w:pStyle w:val="ListParagraph"/>
        <w:numPr>
          <w:ilvl w:val="0"/>
          <w:numId w:val="48"/>
        </w:numPr>
        <w:ind w:left="284" w:hanging="284"/>
        <w:rPr>
          <w:noProof/>
          <w:lang w:eastAsia="en-AU"/>
        </w:rPr>
      </w:pPr>
      <w:r>
        <w:rPr>
          <w:noProof/>
          <w:lang w:eastAsia="en-AU"/>
        </w:rPr>
        <w:t xml:space="preserve">$25,310 (16%) average funding awarded to one </w:t>
      </w:r>
      <w:r w:rsidR="00FB6349">
        <w:rPr>
          <w:noProof/>
          <w:lang w:eastAsia="en-AU"/>
        </w:rPr>
        <w:t xml:space="preserve">applicant in each art form </w:t>
      </w:r>
      <w:r w:rsidR="005808F3">
        <w:rPr>
          <w:noProof/>
          <w:lang w:eastAsia="en-AU"/>
        </w:rPr>
        <w:t xml:space="preserve">category </w:t>
      </w:r>
      <w:r w:rsidR="00FB6349">
        <w:rPr>
          <w:noProof/>
          <w:lang w:eastAsia="en-AU"/>
        </w:rPr>
        <w:t xml:space="preserve">of: </w:t>
      </w:r>
      <w:r w:rsidR="00FB6349" w:rsidRPr="00FB6349">
        <w:rPr>
          <w:noProof/>
          <w:lang w:eastAsia="en-AU"/>
        </w:rPr>
        <w:t>Visual Arts and Crafts</w:t>
      </w:r>
      <w:r w:rsidR="00FB6349">
        <w:rPr>
          <w:noProof/>
          <w:lang w:eastAsia="en-AU"/>
        </w:rPr>
        <w:t xml:space="preserve">, Music, Theatre, </w:t>
      </w:r>
      <w:r w:rsidR="00FB6349" w:rsidRPr="00FB6349">
        <w:rPr>
          <w:noProof/>
          <w:lang w:eastAsia="en-AU"/>
        </w:rPr>
        <w:t>Circus and Physical Theatre</w:t>
      </w:r>
      <w:r w:rsidR="00FB6349">
        <w:rPr>
          <w:noProof/>
          <w:lang w:eastAsia="en-AU"/>
        </w:rPr>
        <w:t xml:space="preserve">, Cross Art Form, </w:t>
      </w:r>
      <w:r w:rsidR="00FB6349" w:rsidRPr="00FB6349">
        <w:rPr>
          <w:noProof/>
          <w:lang w:eastAsia="en-AU"/>
        </w:rPr>
        <w:t>Community Arts and Cultural Development</w:t>
      </w:r>
    </w:p>
    <w:p w:rsidR="00A2780E" w:rsidRDefault="00A2780E" w:rsidP="007141D7">
      <w:pPr>
        <w:pStyle w:val="ListParagraph"/>
        <w:numPr>
          <w:ilvl w:val="0"/>
          <w:numId w:val="48"/>
        </w:numPr>
        <w:ind w:left="284" w:hanging="284"/>
        <w:rPr>
          <w:noProof/>
          <w:lang w:eastAsia="en-AU"/>
        </w:rPr>
      </w:pPr>
      <w:r>
        <w:rPr>
          <w:noProof/>
          <w:lang w:eastAsia="en-AU"/>
        </w:rPr>
        <w:t>$30,</w:t>
      </w:r>
      <w:r w:rsidRPr="00420BD6">
        <w:rPr>
          <w:noProof/>
          <w:lang w:eastAsia="en-AU"/>
        </w:rPr>
        <w:t>000 (</w:t>
      </w:r>
      <w:r w:rsidR="00420BD6" w:rsidRPr="00420BD6">
        <w:rPr>
          <w:noProof/>
          <w:lang w:eastAsia="en-AU"/>
        </w:rPr>
        <w:t>19</w:t>
      </w:r>
      <w:r w:rsidRPr="00420BD6">
        <w:rPr>
          <w:noProof/>
          <w:lang w:eastAsia="en-AU"/>
        </w:rPr>
        <w:t>%)</w:t>
      </w:r>
      <w:r>
        <w:rPr>
          <w:noProof/>
          <w:lang w:eastAsia="en-AU"/>
        </w:rPr>
        <w:t xml:space="preserve"> of funding awarded to one first time applicant</w:t>
      </w:r>
    </w:p>
    <w:p w:rsidR="0016699B" w:rsidRPr="004209BB" w:rsidRDefault="0016699B" w:rsidP="004209BB">
      <w:pPr>
        <w:rPr>
          <w:lang w:eastAsia="en-AU"/>
        </w:rPr>
        <w:sectPr w:rsidR="0016699B" w:rsidRPr="004209BB" w:rsidSect="00654255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794" w:right="794" w:bottom="794" w:left="794" w:header="794" w:footer="283" w:gutter="0"/>
          <w:cols w:space="708"/>
          <w:titlePg/>
          <w:docGrid w:linePitch="360"/>
        </w:sectPr>
      </w:pPr>
    </w:p>
    <w:p w:rsidR="001F0263" w:rsidRPr="008B2050" w:rsidRDefault="001F0263" w:rsidP="001F0263">
      <w:r w:rsidRPr="00EA6833">
        <w:lastRenderedPageBreak/>
        <w:t xml:space="preserve">Closed </w:t>
      </w:r>
      <w:r w:rsidR="0016699B">
        <w:t>7 March</w:t>
      </w:r>
      <w:r w:rsidRPr="00EA6833">
        <w:t xml:space="preserve"> 202</w:t>
      </w:r>
      <w:r w:rsidR="0016699B">
        <w:t>2</w:t>
      </w:r>
      <w:r w:rsidRPr="00EA6833">
        <w:t xml:space="preserve"> for </w:t>
      </w:r>
      <w:r w:rsidR="0016699B">
        <w:t xml:space="preserve">Arts Industry Development </w:t>
      </w:r>
      <w:r w:rsidR="007B52C5">
        <w:t xml:space="preserve">projects commencing </w:t>
      </w:r>
      <w:r w:rsidR="00F735CB">
        <w:t xml:space="preserve">from </w:t>
      </w:r>
      <w:r w:rsidR="007B52C5">
        <w:t>6 May 2022</w:t>
      </w:r>
      <w:r w:rsidRPr="00EA6833">
        <w:t>.</w:t>
      </w:r>
    </w:p>
    <w:tbl>
      <w:tblPr>
        <w:tblW w:w="4976" w:type="pct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9"/>
        <w:gridCol w:w="10208"/>
        <w:gridCol w:w="1279"/>
        <w:gridCol w:w="1413"/>
      </w:tblGrid>
      <w:tr w:rsidR="00D401CB" w:rsidRPr="00406483" w:rsidTr="00244F43">
        <w:trPr>
          <w:cantSplit/>
          <w:trHeight w:val="530"/>
          <w:tblHeader/>
        </w:trPr>
        <w:tc>
          <w:tcPr>
            <w:tcW w:w="74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401CB" w:rsidRPr="00406483" w:rsidRDefault="00D401CB" w:rsidP="00D401CB">
            <w:pPr>
              <w:spacing w:after="0"/>
              <w:ind w:left="170" w:right="101"/>
              <w:rPr>
                <w:rFonts w:cs="Arial"/>
                <w:b/>
                <w:color w:val="FFFFFF" w:themeColor="background1"/>
                <w:highlight w:val="darkBlue"/>
              </w:rPr>
            </w:pPr>
            <w:r w:rsidRPr="00406483">
              <w:rPr>
                <w:color w:val="FFFFFF" w:themeColor="background1"/>
                <w:highlight w:val="darkBlue"/>
              </w:rPr>
              <w:br w:type="page"/>
            </w:r>
            <w:r>
              <w:rPr>
                <w:rFonts w:eastAsia="Arial" w:cs="Arial"/>
                <w:b/>
                <w:color w:val="FFFFFF" w:themeColor="background1"/>
              </w:rPr>
              <w:t>Recipient</w:t>
            </w:r>
          </w:p>
        </w:tc>
        <w:tc>
          <w:tcPr>
            <w:tcW w:w="33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401CB" w:rsidRPr="00406483" w:rsidRDefault="00D401CB" w:rsidP="007F46C7">
            <w:pPr>
              <w:spacing w:after="0"/>
              <w:ind w:left="170"/>
              <w:rPr>
                <w:rFonts w:cs="Arial"/>
                <w:b/>
                <w:color w:val="FFFFFF" w:themeColor="background1"/>
              </w:rPr>
            </w:pPr>
            <w:r w:rsidRPr="00406483">
              <w:rPr>
                <w:rFonts w:eastAsia="Arial" w:cs="Arial"/>
                <w:b/>
                <w:color w:val="FFFFFF" w:themeColor="background1"/>
              </w:rPr>
              <w:t>Project</w:t>
            </w:r>
          </w:p>
        </w:tc>
        <w:tc>
          <w:tcPr>
            <w:tcW w:w="42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vAlign w:val="center"/>
          </w:tcPr>
          <w:p w:rsidR="00D401CB" w:rsidRPr="00406483" w:rsidRDefault="00D401CB" w:rsidP="006B24EB">
            <w:pPr>
              <w:spacing w:after="0"/>
              <w:jc w:val="center"/>
              <w:rPr>
                <w:rFonts w:eastAsia="Arial" w:cs="Arial"/>
                <w:b/>
                <w:color w:val="FFFFFF" w:themeColor="background1"/>
              </w:rPr>
            </w:pPr>
            <w:r w:rsidRPr="00406483">
              <w:rPr>
                <w:rFonts w:eastAsia="Arial" w:cs="Arial"/>
                <w:b/>
                <w:color w:val="FFFFFF" w:themeColor="background1"/>
              </w:rPr>
              <w:t>Region</w:t>
            </w:r>
            <w:r>
              <w:rPr>
                <w:rFonts w:eastAsia="Arial" w:cs="Arial"/>
                <w:b/>
                <w:color w:val="FFFFFF" w:themeColor="background1"/>
              </w:rPr>
              <w:t>*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401CB" w:rsidRPr="00406483" w:rsidRDefault="00D401CB" w:rsidP="006B24EB">
            <w:pPr>
              <w:spacing w:after="0"/>
              <w:jc w:val="center"/>
              <w:rPr>
                <w:rFonts w:cs="Arial"/>
                <w:b/>
                <w:color w:val="FFFFFF" w:themeColor="background1"/>
                <w:highlight w:val="darkBlue"/>
              </w:rPr>
            </w:pPr>
            <w:r w:rsidRPr="00406483">
              <w:rPr>
                <w:rFonts w:eastAsia="Arial" w:cs="Arial"/>
                <w:b/>
                <w:color w:val="FFFFFF" w:themeColor="background1"/>
              </w:rPr>
              <w:t>Funding Offered</w:t>
            </w:r>
          </w:p>
        </w:tc>
      </w:tr>
      <w:tr w:rsidR="00D401CB" w:rsidRPr="008D3A6C" w:rsidTr="00F35194">
        <w:trPr>
          <w:cantSplit/>
          <w:trHeight w:val="607"/>
        </w:trPr>
        <w:tc>
          <w:tcPr>
            <w:tcW w:w="74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01CB" w:rsidRPr="000A79D1" w:rsidRDefault="00D401CB" w:rsidP="00D401CB">
            <w:pPr>
              <w:spacing w:before="120" w:after="0"/>
              <w:ind w:left="170" w:right="101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A79D1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Artback</w:t>
            </w:r>
            <w:proofErr w:type="spellEnd"/>
            <w:r w:rsidRPr="000A79D1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 xml:space="preserve"> NT </w:t>
            </w:r>
            <w:proofErr w:type="spellStart"/>
            <w:r w:rsidRPr="000A79D1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Inc</w:t>
            </w:r>
            <w:proofErr w:type="spellEnd"/>
          </w:p>
        </w:tc>
        <w:tc>
          <w:tcPr>
            <w:tcW w:w="33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401CB" w:rsidRPr="0024416C" w:rsidRDefault="00D401CB" w:rsidP="007F46C7">
            <w:pPr>
              <w:spacing w:before="120" w:after="0"/>
              <w:ind w:left="170"/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</w:pPr>
            <w:proofErr w:type="spellStart"/>
            <w:r w:rsidRPr="0024416C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Artback</w:t>
            </w:r>
            <w:proofErr w:type="spellEnd"/>
            <w:r w:rsidRPr="0024416C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 xml:space="preserve"> NT Industry Skills Project</w:t>
            </w:r>
          </w:p>
          <w:p w:rsidR="00D401CB" w:rsidRPr="00314E1C" w:rsidRDefault="00D401CB" w:rsidP="007F46C7">
            <w:pPr>
              <w:spacing w:before="120" w:after="120"/>
              <w:ind w:left="170"/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</w:pPr>
            <w:r w:rsidRPr="00314E1C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Supports bringing in experts to provide vital training and mentoring for Board, staff and contractors in the areas of cultural safety, arts law and touring management.</w:t>
            </w:r>
          </w:p>
          <w:p w:rsidR="00D401CB" w:rsidRPr="007220F0" w:rsidRDefault="00D401CB" w:rsidP="007F46C7">
            <w:pPr>
              <w:spacing w:after="120"/>
              <w:ind w:left="17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Category: Succession Planning</w:t>
            </w:r>
          </w:p>
        </w:tc>
        <w:tc>
          <w:tcPr>
            <w:tcW w:w="42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01CB" w:rsidRPr="008D3A6C" w:rsidRDefault="00D401CB" w:rsidP="00F35194">
            <w:pPr>
              <w:spacing w:before="12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01CB" w:rsidRPr="008D3A6C" w:rsidRDefault="00D401CB" w:rsidP="00F35194">
            <w:pPr>
              <w:spacing w:before="120"/>
              <w:ind w:right="17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25,000</w:t>
            </w:r>
          </w:p>
        </w:tc>
      </w:tr>
      <w:tr w:rsidR="00D401CB" w:rsidRPr="008D3A6C" w:rsidTr="00F35194">
        <w:trPr>
          <w:cantSplit/>
          <w:trHeight w:val="343"/>
        </w:trPr>
        <w:tc>
          <w:tcPr>
            <w:tcW w:w="74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01CB" w:rsidRPr="000A79D1" w:rsidRDefault="00D401CB" w:rsidP="00D401CB">
            <w:pPr>
              <w:spacing w:before="120" w:after="0"/>
              <w:ind w:left="170" w:right="101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 w:rsidRPr="000A79D1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Brown’s Mart Arts Limited</w:t>
            </w:r>
          </w:p>
        </w:tc>
        <w:tc>
          <w:tcPr>
            <w:tcW w:w="33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01CB" w:rsidRPr="0024416C" w:rsidRDefault="00D401CB" w:rsidP="007F46C7">
            <w:pPr>
              <w:spacing w:before="120" w:after="0"/>
              <w:ind w:left="170"/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</w:pPr>
            <w:r w:rsidRPr="0024416C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 xml:space="preserve">NT-based </w:t>
            </w:r>
            <w:proofErr w:type="spellStart"/>
            <w:r w:rsidRPr="0024416C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Auslan</w:t>
            </w:r>
            <w:proofErr w:type="spellEnd"/>
            <w:r w:rsidRPr="0024416C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 xml:space="preserve"> interpretation of live performance</w:t>
            </w:r>
          </w:p>
          <w:p w:rsidR="00D401CB" w:rsidRPr="00314E1C" w:rsidRDefault="00D401CB" w:rsidP="007F46C7">
            <w:pPr>
              <w:spacing w:before="120" w:after="120"/>
              <w:ind w:left="170"/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</w:pPr>
            <w:r w:rsidRPr="00314E1C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Supports partnering with Deaf Connect NT and </w:t>
            </w:r>
            <w:proofErr w:type="spellStart"/>
            <w:r w:rsidRPr="00314E1C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Auslan</w:t>
            </w:r>
            <w:proofErr w:type="spellEnd"/>
            <w:r w:rsidRPr="00314E1C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 Stage Left to provide </w:t>
            </w:r>
            <w:proofErr w:type="spellStart"/>
            <w:r w:rsidRPr="00314E1C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Auslan</w:t>
            </w:r>
            <w:proofErr w:type="spellEnd"/>
            <w:r w:rsidRPr="00314E1C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-interpreted performances of Brown's Mart 2022 productions and build capacity for NT-based </w:t>
            </w:r>
            <w:proofErr w:type="spellStart"/>
            <w:r w:rsidRPr="00314E1C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Auslan</w:t>
            </w:r>
            <w:proofErr w:type="spellEnd"/>
            <w:r w:rsidRPr="00314E1C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 xml:space="preserve"> interpretation of live performance.</w:t>
            </w:r>
          </w:p>
          <w:p w:rsidR="00D401CB" w:rsidRPr="00B2382A" w:rsidRDefault="00D401CB" w:rsidP="00B65C7D">
            <w:pPr>
              <w:spacing w:after="12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Category: Arts Access</w:t>
            </w:r>
          </w:p>
        </w:tc>
        <w:tc>
          <w:tcPr>
            <w:tcW w:w="42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01CB" w:rsidRPr="00ED07E7" w:rsidRDefault="00D401CB" w:rsidP="00F35194">
            <w:pPr>
              <w:spacing w:before="12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01CB" w:rsidRPr="00ED07E7" w:rsidRDefault="00D401CB" w:rsidP="00F35194">
            <w:pPr>
              <w:spacing w:before="120"/>
              <w:ind w:right="170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$26,660</w:t>
            </w:r>
          </w:p>
        </w:tc>
      </w:tr>
      <w:tr w:rsidR="00D401CB" w:rsidRPr="008D3A6C" w:rsidTr="00F35194">
        <w:trPr>
          <w:cantSplit/>
          <w:trHeight w:val="343"/>
        </w:trPr>
        <w:tc>
          <w:tcPr>
            <w:tcW w:w="74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01CB" w:rsidRPr="000A79D1" w:rsidRDefault="00D401CB" w:rsidP="00D401CB">
            <w:pPr>
              <w:spacing w:before="120" w:after="0"/>
              <w:ind w:left="170" w:right="101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 w:rsidRPr="000A79D1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 xml:space="preserve">Central Australian Territory Craft </w:t>
            </w:r>
            <w:proofErr w:type="spellStart"/>
            <w:r w:rsidRPr="000A79D1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Inc</w:t>
            </w:r>
            <w:proofErr w:type="spellEnd"/>
          </w:p>
        </w:tc>
        <w:tc>
          <w:tcPr>
            <w:tcW w:w="33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01CB" w:rsidRPr="0024416C" w:rsidRDefault="00D401CB" w:rsidP="007F46C7">
            <w:pPr>
              <w:spacing w:before="120" w:after="0"/>
              <w:ind w:left="170"/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</w:pPr>
            <w:r w:rsidRPr="0024416C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Central Craft Succession Plan</w:t>
            </w:r>
          </w:p>
          <w:p w:rsidR="00D401CB" w:rsidRPr="00314E1C" w:rsidRDefault="00D401CB" w:rsidP="007F46C7">
            <w:pPr>
              <w:spacing w:before="120" w:after="120"/>
              <w:ind w:left="170"/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</w:pPr>
            <w:r w:rsidRPr="00314E1C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Supports growing leadership skills through mentorship under the director. This project will lead to a job-share framework and stability in succession planning for Central Craft.</w:t>
            </w:r>
          </w:p>
          <w:p w:rsidR="00D401CB" w:rsidRPr="00B2382A" w:rsidRDefault="00D401CB" w:rsidP="007F46C7">
            <w:pPr>
              <w:spacing w:after="12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Category: Succession Planning</w:t>
            </w:r>
          </w:p>
        </w:tc>
        <w:tc>
          <w:tcPr>
            <w:tcW w:w="42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01CB" w:rsidRDefault="00D401CB" w:rsidP="00F35194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Central Australia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01CB" w:rsidRPr="008D3A6C" w:rsidRDefault="00D401CB" w:rsidP="00F35194">
            <w:pPr>
              <w:spacing w:before="120"/>
              <w:ind w:right="17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20,199</w:t>
            </w:r>
          </w:p>
        </w:tc>
      </w:tr>
      <w:tr w:rsidR="00D401CB" w:rsidRPr="008D3A6C" w:rsidTr="00F35194">
        <w:trPr>
          <w:cantSplit/>
          <w:trHeight w:val="343"/>
        </w:trPr>
        <w:tc>
          <w:tcPr>
            <w:tcW w:w="74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01CB" w:rsidRPr="000A79D1" w:rsidRDefault="00D401CB" w:rsidP="00D401CB">
            <w:pPr>
              <w:spacing w:before="120" w:after="0"/>
              <w:ind w:left="170" w:right="101"/>
              <w:rPr>
                <w:rFonts w:asciiTheme="minorHAnsi" w:hAnsiTheme="minorHAnsi"/>
                <w:sz w:val="20"/>
                <w:szCs w:val="20"/>
              </w:rPr>
            </w:pPr>
            <w:r w:rsidRPr="000A79D1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 xml:space="preserve">Corrugated Iron Youth Arts </w:t>
            </w:r>
            <w:proofErr w:type="spellStart"/>
            <w:r w:rsidRPr="000A79D1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Inc</w:t>
            </w:r>
            <w:proofErr w:type="spellEnd"/>
          </w:p>
        </w:tc>
        <w:tc>
          <w:tcPr>
            <w:tcW w:w="33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401CB" w:rsidRPr="0024416C" w:rsidRDefault="00D401CB" w:rsidP="007F46C7">
            <w:pPr>
              <w:spacing w:before="120" w:after="0"/>
              <w:ind w:left="170"/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</w:pPr>
            <w:r w:rsidRPr="0024416C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SPRINGBOARD - Circus and Physical Theatre Initiative</w:t>
            </w:r>
          </w:p>
          <w:p w:rsidR="00D401CB" w:rsidRPr="00314E1C" w:rsidRDefault="00D401CB" w:rsidP="007F46C7">
            <w:pPr>
              <w:spacing w:before="120" w:after="120"/>
              <w:ind w:left="170"/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</w:pPr>
            <w:r w:rsidRPr="00314E1C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Supports a Circus &amp; Physical Theatre Initiative that aims to build capacity to support the next generation of circus artists and trainers in the NT.</w:t>
            </w:r>
          </w:p>
          <w:p w:rsidR="00D401CB" w:rsidRPr="007220F0" w:rsidRDefault="00D401CB" w:rsidP="007F46C7">
            <w:pPr>
              <w:spacing w:after="120"/>
              <w:ind w:left="17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Category: Succession Planning</w:t>
            </w:r>
          </w:p>
        </w:tc>
        <w:tc>
          <w:tcPr>
            <w:tcW w:w="42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01CB" w:rsidRDefault="00D401CB" w:rsidP="00F35194">
            <w:pPr>
              <w:spacing w:before="12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01CB" w:rsidRPr="008D3A6C" w:rsidRDefault="00D401CB" w:rsidP="00F35194">
            <w:pPr>
              <w:spacing w:before="120"/>
              <w:ind w:right="17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25,000</w:t>
            </w:r>
          </w:p>
        </w:tc>
      </w:tr>
      <w:tr w:rsidR="00D401CB" w:rsidRPr="008D3A6C" w:rsidTr="00F35194">
        <w:trPr>
          <w:cantSplit/>
          <w:trHeight w:val="475"/>
        </w:trPr>
        <w:tc>
          <w:tcPr>
            <w:tcW w:w="74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01CB" w:rsidRPr="000A79D1" w:rsidRDefault="00D401CB" w:rsidP="00D401CB">
            <w:pPr>
              <w:spacing w:before="120" w:after="0"/>
              <w:ind w:left="170" w:right="101"/>
              <w:rPr>
                <w:rFonts w:asciiTheme="minorHAnsi" w:hAnsiTheme="minorHAnsi"/>
                <w:sz w:val="20"/>
                <w:szCs w:val="20"/>
              </w:rPr>
            </w:pPr>
            <w:r w:rsidRPr="000A79D1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lastRenderedPageBreak/>
              <w:t xml:space="preserve">Happy </w:t>
            </w:r>
            <w:proofErr w:type="spellStart"/>
            <w:r w:rsidRPr="000A79D1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Yess</w:t>
            </w:r>
            <w:proofErr w:type="spellEnd"/>
            <w:r w:rsidRPr="000A79D1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 xml:space="preserve"> Community Arts </w:t>
            </w:r>
            <w:proofErr w:type="spellStart"/>
            <w:r w:rsidRPr="000A79D1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Inc</w:t>
            </w:r>
            <w:proofErr w:type="spellEnd"/>
          </w:p>
        </w:tc>
        <w:tc>
          <w:tcPr>
            <w:tcW w:w="33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401CB" w:rsidRPr="0024416C" w:rsidRDefault="00D401CB" w:rsidP="007F46C7">
            <w:pPr>
              <w:spacing w:before="120" w:after="0"/>
              <w:ind w:left="170"/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</w:pPr>
            <w:r w:rsidRPr="0024416C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 xml:space="preserve">A Succession Plan towards employing a Happy </w:t>
            </w:r>
            <w:proofErr w:type="spellStart"/>
            <w:r w:rsidRPr="0024416C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Yess</w:t>
            </w:r>
            <w:proofErr w:type="spellEnd"/>
            <w:r w:rsidRPr="0024416C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 xml:space="preserve"> Executive Officer</w:t>
            </w:r>
          </w:p>
          <w:p w:rsidR="00D401CB" w:rsidRPr="00314E1C" w:rsidRDefault="00D401CB" w:rsidP="007F46C7">
            <w:pPr>
              <w:spacing w:before="120" w:after="120"/>
              <w:ind w:left="170"/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</w:pPr>
            <w:r w:rsidRPr="00314E1C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Supports the employment of a Development Officer to implement the new digital strategy, grow income, document corporate knowledge and systems, and build staff capacity.</w:t>
            </w:r>
          </w:p>
          <w:p w:rsidR="00D401CB" w:rsidRPr="007220F0" w:rsidRDefault="00D401CB" w:rsidP="007F46C7">
            <w:pPr>
              <w:spacing w:after="120"/>
              <w:ind w:left="17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Category: Succession Planning</w:t>
            </w:r>
          </w:p>
        </w:tc>
        <w:tc>
          <w:tcPr>
            <w:tcW w:w="42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01CB" w:rsidRPr="008D3A6C" w:rsidRDefault="00D401CB" w:rsidP="00F35194">
            <w:pPr>
              <w:spacing w:before="12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01CB" w:rsidRPr="008D3A6C" w:rsidRDefault="00D401CB" w:rsidP="00F35194">
            <w:pPr>
              <w:spacing w:before="120"/>
              <w:ind w:right="17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25,000</w:t>
            </w:r>
          </w:p>
        </w:tc>
      </w:tr>
      <w:tr w:rsidR="00D401CB" w:rsidRPr="008D3A6C" w:rsidTr="00F35194">
        <w:trPr>
          <w:cantSplit/>
          <w:trHeight w:val="343"/>
        </w:trPr>
        <w:tc>
          <w:tcPr>
            <w:tcW w:w="74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01CB" w:rsidRPr="000A79D1" w:rsidRDefault="00D401CB" w:rsidP="00D401CB">
            <w:pPr>
              <w:spacing w:before="120" w:after="0"/>
              <w:ind w:left="170" w:right="101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 w:rsidRPr="000A79D1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 xml:space="preserve">Mental Illness Fellowship of Australia (NT) </w:t>
            </w:r>
            <w:proofErr w:type="spellStart"/>
            <w:r w:rsidRPr="000A79D1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Inc</w:t>
            </w:r>
            <w:proofErr w:type="spellEnd"/>
          </w:p>
        </w:tc>
        <w:tc>
          <w:tcPr>
            <w:tcW w:w="33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01CB" w:rsidRPr="0024416C" w:rsidRDefault="00D401CB" w:rsidP="007F46C7">
            <w:pPr>
              <w:spacing w:before="120" w:after="0"/>
              <w:ind w:left="170"/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</w:pPr>
            <w:r w:rsidRPr="0024416C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The Open House</w:t>
            </w:r>
          </w:p>
          <w:p w:rsidR="00D401CB" w:rsidRPr="00314E1C" w:rsidRDefault="00D401CB" w:rsidP="007F46C7">
            <w:pPr>
              <w:spacing w:before="120" w:after="120"/>
              <w:ind w:left="170"/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</w:pPr>
            <w:r w:rsidRPr="00314E1C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Supports a 40-week arts education project that is focused on skills development programs and delivers introductory short courses across a range of artistic mediums.</w:t>
            </w:r>
          </w:p>
          <w:p w:rsidR="00D401CB" w:rsidRPr="00B2382A" w:rsidRDefault="00D401CB" w:rsidP="007F46C7">
            <w:pPr>
              <w:spacing w:after="120"/>
              <w:ind w:left="170"/>
              <w:rPr>
                <w:rFonts w:eastAsia="Times New Roman"/>
                <w:color w:val="282B33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Category: Arts Access</w:t>
            </w:r>
          </w:p>
        </w:tc>
        <w:tc>
          <w:tcPr>
            <w:tcW w:w="42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01CB" w:rsidRDefault="00D401CB" w:rsidP="00F35194">
            <w:pPr>
              <w:spacing w:before="12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01CB" w:rsidRPr="008D3A6C" w:rsidRDefault="00D401CB" w:rsidP="00F35194">
            <w:pPr>
              <w:spacing w:before="120"/>
              <w:ind w:right="17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30,000</w:t>
            </w:r>
          </w:p>
        </w:tc>
      </w:tr>
      <w:tr w:rsidR="00D401CB" w:rsidRPr="008D3A6C" w:rsidTr="00F35194">
        <w:trPr>
          <w:cantSplit/>
          <w:trHeight w:val="343"/>
        </w:trPr>
        <w:tc>
          <w:tcPr>
            <w:tcW w:w="74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01CB" w:rsidRPr="000A79D1" w:rsidRDefault="00D401CB" w:rsidP="00D401CB">
            <w:pPr>
              <w:spacing w:before="120" w:after="0"/>
              <w:ind w:left="170" w:right="101"/>
              <w:rPr>
                <w:rFonts w:asciiTheme="minorHAnsi" w:hAnsiTheme="minorHAnsi"/>
                <w:sz w:val="20"/>
                <w:szCs w:val="20"/>
              </w:rPr>
            </w:pPr>
            <w:r w:rsidRPr="000A79D1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 xml:space="preserve">Tracks </w:t>
            </w:r>
            <w:proofErr w:type="spellStart"/>
            <w:r w:rsidRPr="000A79D1"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Inc</w:t>
            </w:r>
            <w:proofErr w:type="spellEnd"/>
          </w:p>
        </w:tc>
        <w:tc>
          <w:tcPr>
            <w:tcW w:w="33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401CB" w:rsidRPr="000A79D1" w:rsidRDefault="00D401CB" w:rsidP="007F46C7">
            <w:pPr>
              <w:spacing w:before="120" w:after="0"/>
              <w:ind w:left="170"/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</w:pPr>
            <w:r w:rsidRPr="000A79D1">
              <w:rPr>
                <w:rFonts w:eastAsia="Times New Roman"/>
                <w:b/>
                <w:i/>
                <w:color w:val="282B33"/>
                <w:sz w:val="20"/>
                <w:szCs w:val="20"/>
                <w:lang w:eastAsia="en-AU"/>
              </w:rPr>
              <w:t>Future Tracks - Succession Action Plan</w:t>
            </w:r>
          </w:p>
          <w:p w:rsidR="00D401CB" w:rsidRPr="000A79D1" w:rsidRDefault="00D401CB" w:rsidP="007F46C7">
            <w:pPr>
              <w:spacing w:before="120" w:after="120"/>
              <w:ind w:left="170"/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</w:pPr>
            <w:r w:rsidRPr="000A79D1">
              <w:rPr>
                <w:rFonts w:eastAsia="Times New Roman"/>
                <w:i/>
                <w:color w:val="282B33"/>
                <w:sz w:val="20"/>
                <w:szCs w:val="20"/>
                <w:lang w:eastAsia="en-AU"/>
              </w:rPr>
              <w:t>Supports developing and writing the Future Tracks – Succession Action Plan; a framework where organisational continuity and new leadership can thrive.</w:t>
            </w:r>
          </w:p>
          <w:p w:rsidR="00D401CB" w:rsidRPr="007220F0" w:rsidRDefault="00D401CB" w:rsidP="007F46C7">
            <w:pPr>
              <w:spacing w:after="120"/>
              <w:ind w:left="17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eastAsia="Times New Roman"/>
                <w:color w:val="282B33"/>
                <w:sz w:val="20"/>
                <w:szCs w:val="20"/>
                <w:lang w:eastAsia="en-AU"/>
              </w:rPr>
              <w:t>Category: Succession Planning</w:t>
            </w:r>
          </w:p>
        </w:tc>
        <w:tc>
          <w:tcPr>
            <w:tcW w:w="42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01CB" w:rsidRDefault="00D401CB" w:rsidP="00F35194">
            <w:pPr>
              <w:spacing w:before="12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01CB" w:rsidRPr="008D3A6C" w:rsidRDefault="00D401CB" w:rsidP="00F35194">
            <w:pPr>
              <w:spacing w:before="120"/>
              <w:ind w:right="17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$7,840</w:t>
            </w:r>
          </w:p>
        </w:tc>
      </w:tr>
    </w:tbl>
    <w:p w:rsidR="001F0263" w:rsidRDefault="001F0263" w:rsidP="001F0263">
      <w:pPr>
        <w:pStyle w:val="ListParagraph"/>
        <w:ind w:left="720"/>
      </w:pPr>
    </w:p>
    <w:p w:rsidR="001F0263" w:rsidRPr="001F0263" w:rsidRDefault="001F0263" w:rsidP="001F0263">
      <w:pPr>
        <w:rPr>
          <w:b/>
          <w:i/>
        </w:rPr>
      </w:pPr>
      <w:r w:rsidRPr="001F0263">
        <w:rPr>
          <w:b/>
          <w:i/>
        </w:rPr>
        <w:t>*Regions align with the Territory Families, Housing and Communities service delivery regions and regional boundaries</w:t>
      </w:r>
    </w:p>
    <w:p w:rsidR="001F0263" w:rsidRDefault="001F0263" w:rsidP="001F0263">
      <w:pPr>
        <w:rPr>
          <w:noProof/>
          <w:lang w:eastAsia="en-AU"/>
        </w:rPr>
      </w:pPr>
    </w:p>
    <w:sectPr w:rsidR="001F0263" w:rsidSect="00654255">
      <w:footerReference w:type="first" r:id="rId16"/>
      <w:pgSz w:w="16838" w:h="11906" w:orient="landscape" w:code="9"/>
      <w:pgMar w:top="794" w:right="794" w:bottom="568" w:left="794" w:header="79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45D" w:rsidRDefault="00F7545D" w:rsidP="007332FF">
      <w:r>
        <w:separator/>
      </w:r>
    </w:p>
  </w:endnote>
  <w:endnote w:type="continuationSeparator" w:id="0">
    <w:p w:rsidR="00F7545D" w:rsidRDefault="00F7545D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516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7401"/>
    </w:tblGrid>
    <w:tr w:rsidR="00C57C6C" w:rsidRPr="00132658" w:rsidTr="0022358B">
      <w:trPr>
        <w:cantSplit/>
        <w:trHeight w:hRule="exact" w:val="1134"/>
      </w:trPr>
      <w:tc>
        <w:tcPr>
          <w:tcW w:w="7767" w:type="dxa"/>
          <w:vAlign w:val="bottom"/>
        </w:tcPr>
        <w:p w:rsidR="00C57C6C" w:rsidRDefault="00F7545D" w:rsidP="00C57C6C">
          <w:pPr>
            <w:spacing w:after="0"/>
            <w:rPr>
              <w:rStyle w:val="PageNumber"/>
              <w:b/>
            </w:rPr>
          </w:pPr>
          <w:sdt>
            <w:sdtPr>
              <w:rPr>
                <w:rStyle w:val="PageNumber"/>
                <w:b/>
              </w:rPr>
              <w:alias w:val="Company"/>
              <w:tag w:val=""/>
              <w:id w:val="717320347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4209BB">
                <w:rPr>
                  <w:rStyle w:val="PageNumber"/>
                  <w:b/>
                </w:rPr>
                <w:t>TERRITORY FAMILIES, HOUSING AND COMMUNITIES</w:t>
              </w:r>
            </w:sdtContent>
          </w:sdt>
          <w:r w:rsidR="004209BB" w:rsidRPr="004209BB">
            <w:rPr>
              <w:rStyle w:val="PageNumber"/>
            </w:rPr>
            <w:t xml:space="preserve"> – Arts NT</w:t>
          </w:r>
        </w:p>
        <w:p w:rsidR="00C57C6C" w:rsidRDefault="00F7545D" w:rsidP="00C57C6C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88299094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4-1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C57C6C">
                <w:rPr>
                  <w:rStyle w:val="PageNumber"/>
                </w:rPr>
                <w:t>14 April 2022</w:t>
              </w:r>
            </w:sdtContent>
          </w:sdt>
          <w:r w:rsidR="00C57C6C">
            <w:rPr>
              <w:rStyle w:val="PageNumber"/>
            </w:rPr>
            <w:t xml:space="preserve"> |</w:t>
          </w:r>
          <w:r w:rsidR="00C57C6C" w:rsidRPr="00AC4488">
            <w:rPr>
              <w:rStyle w:val="PageNumber"/>
            </w:rPr>
            <w:t xml:space="preserve"> Page </w:t>
          </w:r>
          <w:r w:rsidR="00C57C6C" w:rsidRPr="00AC4488">
            <w:rPr>
              <w:rStyle w:val="PageNumber"/>
            </w:rPr>
            <w:fldChar w:fldCharType="begin"/>
          </w:r>
          <w:r w:rsidR="00C57C6C" w:rsidRPr="00AC4488">
            <w:rPr>
              <w:rStyle w:val="PageNumber"/>
            </w:rPr>
            <w:instrText xml:space="preserve"> PAGE  \* Arabic  \* MERGEFORMAT </w:instrText>
          </w:r>
          <w:r w:rsidR="00C57C6C" w:rsidRPr="00AC4488">
            <w:rPr>
              <w:rStyle w:val="PageNumber"/>
            </w:rPr>
            <w:fldChar w:fldCharType="separate"/>
          </w:r>
          <w:r w:rsidR="00952784">
            <w:rPr>
              <w:rStyle w:val="PageNumber"/>
              <w:noProof/>
            </w:rPr>
            <w:t>3</w:t>
          </w:r>
          <w:r w:rsidR="00C57C6C" w:rsidRPr="00AC4488">
            <w:rPr>
              <w:rStyle w:val="PageNumber"/>
            </w:rPr>
            <w:fldChar w:fldCharType="end"/>
          </w:r>
          <w:r w:rsidR="00C57C6C" w:rsidRPr="00AC4488">
            <w:rPr>
              <w:rStyle w:val="PageNumber"/>
            </w:rPr>
            <w:t xml:space="preserve"> of </w:t>
          </w:r>
          <w:r w:rsidR="00C57C6C" w:rsidRPr="00AC4488">
            <w:rPr>
              <w:rStyle w:val="PageNumber"/>
            </w:rPr>
            <w:fldChar w:fldCharType="begin"/>
          </w:r>
          <w:r w:rsidR="00C57C6C" w:rsidRPr="00AC4488">
            <w:rPr>
              <w:rStyle w:val="PageNumber"/>
            </w:rPr>
            <w:instrText xml:space="preserve"> NUMPAGES  \* Arabic  \* MERGEFORMAT </w:instrText>
          </w:r>
          <w:r w:rsidR="00C57C6C" w:rsidRPr="00AC4488">
            <w:rPr>
              <w:rStyle w:val="PageNumber"/>
            </w:rPr>
            <w:fldChar w:fldCharType="separate"/>
          </w:r>
          <w:r w:rsidR="00952784">
            <w:rPr>
              <w:rStyle w:val="PageNumber"/>
              <w:noProof/>
            </w:rPr>
            <w:t>3</w:t>
          </w:r>
          <w:r w:rsidR="00C57C6C" w:rsidRPr="00AC4488">
            <w:rPr>
              <w:rStyle w:val="PageNumber"/>
            </w:rPr>
            <w:fldChar w:fldCharType="end"/>
          </w:r>
        </w:p>
        <w:p w:rsidR="00C57C6C" w:rsidRPr="00CE30CF" w:rsidRDefault="00C57C6C" w:rsidP="00C57C6C">
          <w:pPr>
            <w:spacing w:after="0"/>
            <w:rPr>
              <w:rStyle w:val="PageNumber"/>
            </w:rPr>
          </w:pPr>
        </w:p>
      </w:tc>
      <w:tc>
        <w:tcPr>
          <w:tcW w:w="7401" w:type="dxa"/>
          <w:vAlign w:val="bottom"/>
        </w:tcPr>
        <w:p w:rsidR="00C57C6C" w:rsidRPr="001E14EB" w:rsidRDefault="00C57C6C" w:rsidP="00C57C6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7A825561" wp14:editId="751260B2">
                <wp:extent cx="1572479" cy="561600"/>
                <wp:effectExtent l="0" t="0" r="8890" b="0"/>
                <wp:docPr id="12" name="Picture 1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F7545D" w:rsidP="00D47DC7">
          <w:pPr>
            <w:spacing w:after="0"/>
            <w:rPr>
              <w:rStyle w:val="PageNumber"/>
              <w:b/>
            </w:rPr>
          </w:pP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3D6482" w:rsidRPr="004209BB">
                <w:rPr>
                  <w:rStyle w:val="PageNumber"/>
                  <w:b/>
                </w:rPr>
                <w:t>TERRITORY FAMILIES, HOUSING AND COMMUNITIES</w:t>
              </w:r>
            </w:sdtContent>
          </w:sdt>
          <w:r w:rsidR="004209BB" w:rsidRPr="004209BB">
            <w:rPr>
              <w:rStyle w:val="PageNumber"/>
            </w:rPr>
            <w:t xml:space="preserve"> – Arts NT</w:t>
          </w:r>
        </w:p>
        <w:p w:rsidR="0071700C" w:rsidRDefault="00F7545D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4-1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6699B">
                <w:rPr>
                  <w:rStyle w:val="PageNumber"/>
                </w:rPr>
                <w:t>14 April 2022</w:t>
              </w:r>
            </w:sdtContent>
          </w:sdt>
          <w:r w:rsidR="001F0263">
            <w:rPr>
              <w:rStyle w:val="PageNumber"/>
            </w:rPr>
            <w:t xml:space="preserve"> |</w:t>
          </w:r>
          <w:r w:rsidR="003D6482" w:rsidRPr="00AC4488">
            <w:rPr>
              <w:rStyle w:val="PageNumber"/>
            </w:rPr>
            <w:t xml:space="preserve"> Page </w:t>
          </w:r>
          <w:r w:rsidR="003D6482" w:rsidRPr="00AC4488">
            <w:rPr>
              <w:rStyle w:val="PageNumber"/>
            </w:rPr>
            <w:fldChar w:fldCharType="begin"/>
          </w:r>
          <w:r w:rsidR="003D6482" w:rsidRPr="00AC4488">
            <w:rPr>
              <w:rStyle w:val="PageNumber"/>
            </w:rPr>
            <w:instrText xml:space="preserve"> PAGE  \* Arabic  \* MERGEFORMAT </w:instrText>
          </w:r>
          <w:r w:rsidR="003D6482" w:rsidRPr="00AC4488">
            <w:rPr>
              <w:rStyle w:val="PageNumber"/>
            </w:rPr>
            <w:fldChar w:fldCharType="separate"/>
          </w:r>
          <w:r w:rsidR="00952784">
            <w:rPr>
              <w:rStyle w:val="PageNumber"/>
              <w:noProof/>
            </w:rPr>
            <w:t>1</w:t>
          </w:r>
          <w:r w:rsidR="003D6482" w:rsidRPr="00AC4488">
            <w:rPr>
              <w:rStyle w:val="PageNumber"/>
            </w:rPr>
            <w:fldChar w:fldCharType="end"/>
          </w:r>
          <w:r w:rsidR="003D6482" w:rsidRPr="00AC4488">
            <w:rPr>
              <w:rStyle w:val="PageNumber"/>
            </w:rPr>
            <w:t xml:space="preserve"> of </w:t>
          </w:r>
          <w:r w:rsidR="003D6482" w:rsidRPr="00AC4488">
            <w:rPr>
              <w:rStyle w:val="PageNumber"/>
            </w:rPr>
            <w:fldChar w:fldCharType="begin"/>
          </w:r>
          <w:r w:rsidR="003D6482" w:rsidRPr="00AC4488">
            <w:rPr>
              <w:rStyle w:val="PageNumber"/>
            </w:rPr>
            <w:instrText xml:space="preserve"> NUMPAGES  \* Arabic  \* MERGEFORMAT </w:instrText>
          </w:r>
          <w:r w:rsidR="003D6482" w:rsidRPr="00AC4488">
            <w:rPr>
              <w:rStyle w:val="PageNumber"/>
            </w:rPr>
            <w:fldChar w:fldCharType="separate"/>
          </w:r>
          <w:r w:rsidR="00952784">
            <w:rPr>
              <w:rStyle w:val="PageNumber"/>
              <w:noProof/>
            </w:rPr>
            <w:t>3</w:t>
          </w:r>
          <w:r w:rsidR="003D6482" w:rsidRPr="00AC4488">
            <w:rPr>
              <w:rStyle w:val="PageNumber"/>
            </w:rPr>
            <w:fldChar w:fldCharType="end"/>
          </w:r>
        </w:p>
        <w:p w:rsidR="00975C11" w:rsidRPr="00CE30CF" w:rsidRDefault="00975C11" w:rsidP="00D47DC7">
          <w:pPr>
            <w:spacing w:after="0"/>
            <w:rPr>
              <w:rStyle w:val="PageNumber"/>
            </w:rPr>
          </w:pP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255" w:rsidRDefault="00654255" w:rsidP="0071700C">
    <w:pPr>
      <w:spacing w:after="0"/>
    </w:pPr>
  </w:p>
  <w:tbl>
    <w:tblPr>
      <w:tblW w:w="1516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7401"/>
    </w:tblGrid>
    <w:tr w:rsidR="00654255" w:rsidRPr="00132658" w:rsidTr="00654255">
      <w:trPr>
        <w:cantSplit/>
        <w:trHeight w:hRule="exact" w:val="1134"/>
      </w:trPr>
      <w:tc>
        <w:tcPr>
          <w:tcW w:w="7767" w:type="dxa"/>
          <w:vAlign w:val="bottom"/>
        </w:tcPr>
        <w:p w:rsidR="00654255" w:rsidRDefault="00F7545D" w:rsidP="00D47DC7">
          <w:pPr>
            <w:spacing w:after="0"/>
            <w:rPr>
              <w:rStyle w:val="PageNumber"/>
              <w:b/>
            </w:rPr>
          </w:pPr>
          <w:sdt>
            <w:sdtPr>
              <w:rPr>
                <w:rStyle w:val="PageNumber"/>
                <w:b/>
              </w:rPr>
              <w:alias w:val="Company"/>
              <w:tag w:val=""/>
              <w:id w:val="302435263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4209BB">
                <w:rPr>
                  <w:rStyle w:val="PageNumber"/>
                  <w:b/>
                </w:rPr>
                <w:t>TERRITORY FAMILIES, HOUSING AND COMMUNITIES</w:t>
              </w:r>
            </w:sdtContent>
          </w:sdt>
          <w:r w:rsidR="004209BB" w:rsidRPr="004209BB">
            <w:rPr>
              <w:rStyle w:val="PageNumber"/>
            </w:rPr>
            <w:t xml:space="preserve"> – Arts NT</w:t>
          </w:r>
        </w:p>
        <w:p w:rsidR="00654255" w:rsidRDefault="00F7545D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869146250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4-1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654255">
                <w:rPr>
                  <w:rStyle w:val="PageNumber"/>
                </w:rPr>
                <w:t>14 April 2022</w:t>
              </w:r>
            </w:sdtContent>
          </w:sdt>
          <w:r w:rsidR="00654255">
            <w:rPr>
              <w:rStyle w:val="PageNumber"/>
            </w:rPr>
            <w:t xml:space="preserve"> |</w:t>
          </w:r>
          <w:r w:rsidR="00654255" w:rsidRPr="00AC4488">
            <w:rPr>
              <w:rStyle w:val="PageNumber"/>
            </w:rPr>
            <w:t xml:space="preserve"> Page </w:t>
          </w:r>
          <w:r w:rsidR="00654255" w:rsidRPr="00AC4488">
            <w:rPr>
              <w:rStyle w:val="PageNumber"/>
            </w:rPr>
            <w:fldChar w:fldCharType="begin"/>
          </w:r>
          <w:r w:rsidR="00654255" w:rsidRPr="00AC4488">
            <w:rPr>
              <w:rStyle w:val="PageNumber"/>
            </w:rPr>
            <w:instrText xml:space="preserve"> PAGE  \* Arabic  \* MERGEFORMAT </w:instrText>
          </w:r>
          <w:r w:rsidR="00654255" w:rsidRPr="00AC4488">
            <w:rPr>
              <w:rStyle w:val="PageNumber"/>
            </w:rPr>
            <w:fldChar w:fldCharType="separate"/>
          </w:r>
          <w:r w:rsidR="00952784">
            <w:rPr>
              <w:rStyle w:val="PageNumber"/>
              <w:noProof/>
            </w:rPr>
            <w:t>2</w:t>
          </w:r>
          <w:r w:rsidR="00654255" w:rsidRPr="00AC4488">
            <w:rPr>
              <w:rStyle w:val="PageNumber"/>
            </w:rPr>
            <w:fldChar w:fldCharType="end"/>
          </w:r>
          <w:r w:rsidR="00654255" w:rsidRPr="00AC4488">
            <w:rPr>
              <w:rStyle w:val="PageNumber"/>
            </w:rPr>
            <w:t xml:space="preserve"> of </w:t>
          </w:r>
          <w:r w:rsidR="00654255" w:rsidRPr="00AC4488">
            <w:rPr>
              <w:rStyle w:val="PageNumber"/>
            </w:rPr>
            <w:fldChar w:fldCharType="begin"/>
          </w:r>
          <w:r w:rsidR="00654255" w:rsidRPr="00AC4488">
            <w:rPr>
              <w:rStyle w:val="PageNumber"/>
            </w:rPr>
            <w:instrText xml:space="preserve"> NUMPAGES  \* Arabic  \* MERGEFORMAT </w:instrText>
          </w:r>
          <w:r w:rsidR="00654255" w:rsidRPr="00AC4488">
            <w:rPr>
              <w:rStyle w:val="PageNumber"/>
            </w:rPr>
            <w:fldChar w:fldCharType="separate"/>
          </w:r>
          <w:r w:rsidR="00952784">
            <w:rPr>
              <w:rStyle w:val="PageNumber"/>
              <w:noProof/>
            </w:rPr>
            <w:t>3</w:t>
          </w:r>
          <w:r w:rsidR="00654255" w:rsidRPr="00AC4488">
            <w:rPr>
              <w:rStyle w:val="PageNumber"/>
            </w:rPr>
            <w:fldChar w:fldCharType="end"/>
          </w:r>
        </w:p>
        <w:p w:rsidR="00975C11" w:rsidRPr="00CE30CF" w:rsidRDefault="00975C11" w:rsidP="00D47DC7">
          <w:pPr>
            <w:spacing w:after="0"/>
            <w:rPr>
              <w:rStyle w:val="PageNumber"/>
            </w:rPr>
          </w:pPr>
        </w:p>
      </w:tc>
      <w:tc>
        <w:tcPr>
          <w:tcW w:w="7401" w:type="dxa"/>
          <w:vAlign w:val="bottom"/>
        </w:tcPr>
        <w:p w:rsidR="00654255" w:rsidRPr="001E14EB" w:rsidRDefault="00654255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18348578" wp14:editId="31F116C6">
                <wp:extent cx="1572479" cy="561600"/>
                <wp:effectExtent l="0" t="0" r="8890" b="0"/>
                <wp:docPr id="10" name="Picture 10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654255" w:rsidRPr="00661BE1" w:rsidRDefault="00654255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45D" w:rsidRDefault="00F7545D" w:rsidP="007332FF">
      <w:r>
        <w:separator/>
      </w:r>
    </w:p>
  </w:footnote>
  <w:footnote w:type="continuationSeparator" w:id="0">
    <w:p w:rsidR="00F7545D" w:rsidRDefault="00F7545D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F7545D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820E2">
          <w:t>2021-22 Arts Industry Development Awarded Grants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Default="007141D7" w:rsidP="00435082">
        <w:pPr>
          <w:pStyle w:val="Title"/>
        </w:pPr>
        <w:r w:rsidRPr="001F0263">
          <w:rPr>
            <w:rStyle w:val="Heading1Char"/>
            <w:sz w:val="56"/>
            <w:szCs w:val="56"/>
          </w:rPr>
          <w:t xml:space="preserve">2021-22 </w:t>
        </w:r>
        <w:r>
          <w:rPr>
            <w:rStyle w:val="Heading1Char"/>
            <w:sz w:val="56"/>
            <w:szCs w:val="56"/>
          </w:rPr>
          <w:t>Arts Industry Development</w:t>
        </w:r>
        <w:r w:rsidR="000820E2">
          <w:rPr>
            <w:rStyle w:val="Heading1Char"/>
            <w:sz w:val="56"/>
            <w:szCs w:val="56"/>
          </w:rPr>
          <w:t xml:space="preserve"> </w:t>
        </w:r>
        <w:r w:rsidR="000820E2">
          <w:rPr>
            <w:rStyle w:val="Heading1Char"/>
            <w:sz w:val="56"/>
            <w:szCs w:val="56"/>
          </w:rPr>
          <w:br/>
          <w:t>Awarded Grants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28B0A9D"/>
    <w:multiLevelType w:val="hybridMultilevel"/>
    <w:tmpl w:val="188E4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0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4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5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8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2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1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5" w15:restartNumberingAfterBreak="0">
    <w:nsid w:val="27D83E4D"/>
    <w:multiLevelType w:val="multilevel"/>
    <w:tmpl w:val="3928FD02"/>
    <w:numStyleLink w:val="Bulletlist"/>
  </w:abstractNum>
  <w:abstractNum w:abstractNumId="26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1520E7"/>
    <w:multiLevelType w:val="multilevel"/>
    <w:tmpl w:val="4E6AC8F6"/>
    <w:numStyleLink w:val="Numberlist"/>
  </w:abstractNum>
  <w:abstractNum w:abstractNumId="2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9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2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3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4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5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7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9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2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7" w15:restartNumberingAfterBreak="0">
    <w:nsid w:val="50CE225B"/>
    <w:multiLevelType w:val="hybridMultilevel"/>
    <w:tmpl w:val="E52C56BC"/>
    <w:lvl w:ilvl="0" w:tplc="265C068C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842BC6"/>
    <w:multiLevelType w:val="multilevel"/>
    <w:tmpl w:val="0C78A7AC"/>
    <w:numStyleLink w:val="Tablebulletlist"/>
  </w:abstractNum>
  <w:abstractNum w:abstractNumId="5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2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3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4" w15:restartNumberingAfterBreak="0">
    <w:nsid w:val="57912734"/>
    <w:multiLevelType w:val="hybridMultilevel"/>
    <w:tmpl w:val="6E760D90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6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7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E21323"/>
    <w:multiLevelType w:val="multilevel"/>
    <w:tmpl w:val="4E6AC8F6"/>
    <w:numStyleLink w:val="Numberlist"/>
  </w:abstractNum>
  <w:abstractNum w:abstractNumId="5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6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61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4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6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8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71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2" w15:restartNumberingAfterBreak="0">
    <w:nsid w:val="765A32D4"/>
    <w:multiLevelType w:val="multilevel"/>
    <w:tmpl w:val="4E6AC8F6"/>
    <w:numStyleLink w:val="Numberlist"/>
  </w:abstractNum>
  <w:abstractNum w:abstractNumId="73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4"/>
  </w:num>
  <w:num w:numId="2">
    <w:abstractNumId w:val="22"/>
  </w:num>
  <w:num w:numId="3">
    <w:abstractNumId w:val="74"/>
  </w:num>
  <w:num w:numId="4">
    <w:abstractNumId w:val="44"/>
  </w:num>
  <w:num w:numId="5">
    <w:abstractNumId w:val="28"/>
  </w:num>
  <w:num w:numId="6">
    <w:abstractNumId w:val="16"/>
  </w:num>
  <w:num w:numId="7">
    <w:abstractNumId w:val="50"/>
  </w:num>
  <w:num w:numId="8">
    <w:abstractNumId w:val="25"/>
  </w:num>
  <w:num w:numId="9">
    <w:abstractNumId w:val="58"/>
  </w:num>
  <w:num w:numId="10">
    <w:abstractNumId w:val="21"/>
  </w:num>
  <w:num w:numId="11">
    <w:abstractNumId w:val="64"/>
  </w:num>
  <w:num w:numId="12">
    <w:abstractNumId w:val="18"/>
  </w:num>
  <w:num w:numId="13">
    <w:abstractNumId w:val="1"/>
  </w:num>
  <w:num w:numId="14">
    <w:abstractNumId w:val="62"/>
  </w:num>
  <w:num w:numId="15">
    <w:abstractNumId w:val="27"/>
  </w:num>
  <w:num w:numId="16">
    <w:abstractNumId w:val="63"/>
  </w:num>
  <w:num w:numId="17">
    <w:abstractNumId w:val="72"/>
  </w:num>
  <w:num w:numId="18">
    <w:abstractNumId w:val="57"/>
  </w:num>
  <w:num w:numId="19">
    <w:abstractNumId w:val="48"/>
  </w:num>
  <w:num w:numId="20">
    <w:abstractNumId w:val="52"/>
  </w:num>
  <w:num w:numId="21">
    <w:abstractNumId w:val="39"/>
  </w:num>
  <w:num w:numId="22">
    <w:abstractNumId w:val="56"/>
  </w:num>
  <w:num w:numId="23">
    <w:abstractNumId w:val="46"/>
  </w:num>
  <w:num w:numId="24">
    <w:abstractNumId w:val="41"/>
  </w:num>
  <w:num w:numId="25">
    <w:abstractNumId w:val="37"/>
  </w:num>
  <w:num w:numId="26">
    <w:abstractNumId w:val="11"/>
  </w:num>
  <w:num w:numId="27">
    <w:abstractNumId w:val="73"/>
  </w:num>
  <w:num w:numId="28">
    <w:abstractNumId w:val="36"/>
  </w:num>
  <w:num w:numId="29">
    <w:abstractNumId w:val="29"/>
  </w:num>
  <w:num w:numId="30">
    <w:abstractNumId w:val="0"/>
  </w:num>
  <w:num w:numId="31">
    <w:abstractNumId w:val="40"/>
  </w:num>
  <w:num w:numId="32">
    <w:abstractNumId w:val="10"/>
  </w:num>
  <w:num w:numId="33">
    <w:abstractNumId w:val="65"/>
  </w:num>
  <w:num w:numId="34">
    <w:abstractNumId w:val="32"/>
  </w:num>
  <w:num w:numId="35">
    <w:abstractNumId w:val="49"/>
  </w:num>
  <w:num w:numId="36">
    <w:abstractNumId w:val="66"/>
  </w:num>
  <w:num w:numId="37">
    <w:abstractNumId w:val="68"/>
  </w:num>
  <w:num w:numId="38">
    <w:abstractNumId w:val="15"/>
  </w:num>
  <w:num w:numId="39">
    <w:abstractNumId w:val="26"/>
  </w:num>
  <w:num w:numId="40">
    <w:abstractNumId w:val="69"/>
  </w:num>
  <w:num w:numId="41">
    <w:abstractNumId w:val="2"/>
  </w:num>
  <w:num w:numId="42">
    <w:abstractNumId w:val="61"/>
  </w:num>
  <w:num w:numId="43">
    <w:abstractNumId w:val="12"/>
  </w:num>
  <w:num w:numId="44">
    <w:abstractNumId w:val="35"/>
  </w:num>
  <w:num w:numId="45">
    <w:abstractNumId w:val="42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</w:num>
  <w:num w:numId="48">
    <w:abstractNumId w:val="7"/>
  </w:num>
  <w:num w:numId="49">
    <w:abstractNumId w:val="54"/>
  </w:num>
  <w:num w:numId="50">
    <w:abstractNumId w:val="4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63"/>
    <w:rsid w:val="00001DDF"/>
    <w:rsid w:val="0000322D"/>
    <w:rsid w:val="00007670"/>
    <w:rsid w:val="00010665"/>
    <w:rsid w:val="0002393A"/>
    <w:rsid w:val="00027DB8"/>
    <w:rsid w:val="00031A96"/>
    <w:rsid w:val="000354ED"/>
    <w:rsid w:val="00035FEF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0E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A79D1"/>
    <w:rsid w:val="000B2CA1"/>
    <w:rsid w:val="000D1F29"/>
    <w:rsid w:val="000D633D"/>
    <w:rsid w:val="000E342B"/>
    <w:rsid w:val="000E3ED2"/>
    <w:rsid w:val="000E5DD2"/>
    <w:rsid w:val="000E6D2A"/>
    <w:rsid w:val="000F2958"/>
    <w:rsid w:val="000F3850"/>
    <w:rsid w:val="000F604F"/>
    <w:rsid w:val="00104E7F"/>
    <w:rsid w:val="00106AC3"/>
    <w:rsid w:val="001137EC"/>
    <w:rsid w:val="001152F5"/>
    <w:rsid w:val="00117743"/>
    <w:rsid w:val="00117F5B"/>
    <w:rsid w:val="00120305"/>
    <w:rsid w:val="00132658"/>
    <w:rsid w:val="00145CD4"/>
    <w:rsid w:val="00150DC0"/>
    <w:rsid w:val="0015394D"/>
    <w:rsid w:val="00156CD4"/>
    <w:rsid w:val="0016153B"/>
    <w:rsid w:val="00162207"/>
    <w:rsid w:val="00164A3E"/>
    <w:rsid w:val="0016699B"/>
    <w:rsid w:val="00166FF6"/>
    <w:rsid w:val="00176123"/>
    <w:rsid w:val="00181620"/>
    <w:rsid w:val="00187130"/>
    <w:rsid w:val="001957AD"/>
    <w:rsid w:val="00196F8E"/>
    <w:rsid w:val="001A0CFD"/>
    <w:rsid w:val="001A2B7F"/>
    <w:rsid w:val="001A3AFD"/>
    <w:rsid w:val="001A496C"/>
    <w:rsid w:val="001A576A"/>
    <w:rsid w:val="001B2865"/>
    <w:rsid w:val="001B28DA"/>
    <w:rsid w:val="001B2B6C"/>
    <w:rsid w:val="001D01C4"/>
    <w:rsid w:val="001D4F99"/>
    <w:rsid w:val="001D52B0"/>
    <w:rsid w:val="001D5A18"/>
    <w:rsid w:val="001D7CA4"/>
    <w:rsid w:val="001D7F67"/>
    <w:rsid w:val="001E057F"/>
    <w:rsid w:val="001E14EB"/>
    <w:rsid w:val="001F0263"/>
    <w:rsid w:val="001F59E6"/>
    <w:rsid w:val="00203F1C"/>
    <w:rsid w:val="00206936"/>
    <w:rsid w:val="00206C6F"/>
    <w:rsid w:val="00206FBD"/>
    <w:rsid w:val="00207746"/>
    <w:rsid w:val="00230031"/>
    <w:rsid w:val="00235C01"/>
    <w:rsid w:val="002367E6"/>
    <w:rsid w:val="0024416C"/>
    <w:rsid w:val="00244F43"/>
    <w:rsid w:val="00247343"/>
    <w:rsid w:val="00265C56"/>
    <w:rsid w:val="002716CD"/>
    <w:rsid w:val="00274D4B"/>
    <w:rsid w:val="002806F5"/>
    <w:rsid w:val="00281577"/>
    <w:rsid w:val="00283D90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4E1C"/>
    <w:rsid w:val="003164BA"/>
    <w:rsid w:val="003258E6"/>
    <w:rsid w:val="00333CD3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6482"/>
    <w:rsid w:val="003D7818"/>
    <w:rsid w:val="003D7E08"/>
    <w:rsid w:val="003E2445"/>
    <w:rsid w:val="003E3BB2"/>
    <w:rsid w:val="003F5B58"/>
    <w:rsid w:val="0040222A"/>
    <w:rsid w:val="004047BC"/>
    <w:rsid w:val="004100F7"/>
    <w:rsid w:val="00414CB3"/>
    <w:rsid w:val="0041563D"/>
    <w:rsid w:val="004209BB"/>
    <w:rsid w:val="00420BD6"/>
    <w:rsid w:val="00426259"/>
    <w:rsid w:val="00426E25"/>
    <w:rsid w:val="00427D9C"/>
    <w:rsid w:val="00427E7E"/>
    <w:rsid w:val="0043465D"/>
    <w:rsid w:val="00435082"/>
    <w:rsid w:val="00443B6E"/>
    <w:rsid w:val="00443BB9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A764C"/>
    <w:rsid w:val="004B0C15"/>
    <w:rsid w:val="004B35EA"/>
    <w:rsid w:val="004B69E4"/>
    <w:rsid w:val="004B6C8E"/>
    <w:rsid w:val="004C6C39"/>
    <w:rsid w:val="004D075F"/>
    <w:rsid w:val="004D1A4B"/>
    <w:rsid w:val="004D1B76"/>
    <w:rsid w:val="004D344E"/>
    <w:rsid w:val="004D464A"/>
    <w:rsid w:val="004D7459"/>
    <w:rsid w:val="004E019E"/>
    <w:rsid w:val="004E06EC"/>
    <w:rsid w:val="004E0A3F"/>
    <w:rsid w:val="004E2CB7"/>
    <w:rsid w:val="004F016A"/>
    <w:rsid w:val="004F599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34BB2"/>
    <w:rsid w:val="00540CAC"/>
    <w:rsid w:val="00543BD1"/>
    <w:rsid w:val="00556113"/>
    <w:rsid w:val="00564C12"/>
    <w:rsid w:val="005654B8"/>
    <w:rsid w:val="00570D94"/>
    <w:rsid w:val="00574150"/>
    <w:rsid w:val="00575A47"/>
    <w:rsid w:val="005762CC"/>
    <w:rsid w:val="005808F3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35AC"/>
    <w:rsid w:val="005F6602"/>
    <w:rsid w:val="005F77C7"/>
    <w:rsid w:val="00620675"/>
    <w:rsid w:val="00622910"/>
    <w:rsid w:val="006254B6"/>
    <w:rsid w:val="00627FC8"/>
    <w:rsid w:val="0063481A"/>
    <w:rsid w:val="006433C3"/>
    <w:rsid w:val="00650F5B"/>
    <w:rsid w:val="0065411D"/>
    <w:rsid w:val="00654255"/>
    <w:rsid w:val="006670D7"/>
    <w:rsid w:val="006719EA"/>
    <w:rsid w:val="00671F13"/>
    <w:rsid w:val="006729DE"/>
    <w:rsid w:val="0067400A"/>
    <w:rsid w:val="006847AD"/>
    <w:rsid w:val="0069114B"/>
    <w:rsid w:val="006944C1"/>
    <w:rsid w:val="006A756A"/>
    <w:rsid w:val="006B6EB8"/>
    <w:rsid w:val="006C0768"/>
    <w:rsid w:val="006C0EC2"/>
    <w:rsid w:val="006D66F7"/>
    <w:rsid w:val="006E3EA9"/>
    <w:rsid w:val="00705C9D"/>
    <w:rsid w:val="00705F13"/>
    <w:rsid w:val="0070624C"/>
    <w:rsid w:val="007141D7"/>
    <w:rsid w:val="0071448B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1C0D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2C5"/>
    <w:rsid w:val="007B5C09"/>
    <w:rsid w:val="007B5DA2"/>
    <w:rsid w:val="007B5EF0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7F46C7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33E"/>
    <w:rsid w:val="00842838"/>
    <w:rsid w:val="00854C64"/>
    <w:rsid w:val="00854EC1"/>
    <w:rsid w:val="0085797F"/>
    <w:rsid w:val="00861DC3"/>
    <w:rsid w:val="0086568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8F7543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52784"/>
    <w:rsid w:val="0096016F"/>
    <w:rsid w:val="009616DF"/>
    <w:rsid w:val="0096542F"/>
    <w:rsid w:val="00967FA7"/>
    <w:rsid w:val="00971645"/>
    <w:rsid w:val="0097304D"/>
    <w:rsid w:val="00975C11"/>
    <w:rsid w:val="00976958"/>
    <w:rsid w:val="00977919"/>
    <w:rsid w:val="00983000"/>
    <w:rsid w:val="00985F59"/>
    <w:rsid w:val="009870FA"/>
    <w:rsid w:val="009921C3"/>
    <w:rsid w:val="0099551D"/>
    <w:rsid w:val="009A0514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2780E"/>
    <w:rsid w:val="00A31AE8"/>
    <w:rsid w:val="00A3739D"/>
    <w:rsid w:val="00A37DDA"/>
    <w:rsid w:val="00A41D37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A7793"/>
    <w:rsid w:val="00AD0DA4"/>
    <w:rsid w:val="00AD1B17"/>
    <w:rsid w:val="00AD4169"/>
    <w:rsid w:val="00AD6794"/>
    <w:rsid w:val="00AD697D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50D7E"/>
    <w:rsid w:val="00B606A1"/>
    <w:rsid w:val="00B614F7"/>
    <w:rsid w:val="00B61B26"/>
    <w:rsid w:val="00B65C7D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34372"/>
    <w:rsid w:val="00C43519"/>
    <w:rsid w:val="00C45263"/>
    <w:rsid w:val="00C51537"/>
    <w:rsid w:val="00C52BC3"/>
    <w:rsid w:val="00C57C6C"/>
    <w:rsid w:val="00C61AFA"/>
    <w:rsid w:val="00C61D64"/>
    <w:rsid w:val="00C62099"/>
    <w:rsid w:val="00C62A34"/>
    <w:rsid w:val="00C64EA3"/>
    <w:rsid w:val="00C72867"/>
    <w:rsid w:val="00C75E81"/>
    <w:rsid w:val="00C77935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3E81"/>
    <w:rsid w:val="00CE640F"/>
    <w:rsid w:val="00CE76BC"/>
    <w:rsid w:val="00CF540E"/>
    <w:rsid w:val="00D02F07"/>
    <w:rsid w:val="00D15D88"/>
    <w:rsid w:val="00D20C00"/>
    <w:rsid w:val="00D27D49"/>
    <w:rsid w:val="00D27EBE"/>
    <w:rsid w:val="00D36A49"/>
    <w:rsid w:val="00D401CB"/>
    <w:rsid w:val="00D47DC7"/>
    <w:rsid w:val="00D517C6"/>
    <w:rsid w:val="00D71D84"/>
    <w:rsid w:val="00D72464"/>
    <w:rsid w:val="00D72536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B9A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1845"/>
    <w:rsid w:val="00E239FF"/>
    <w:rsid w:val="00E27D7B"/>
    <w:rsid w:val="00E30556"/>
    <w:rsid w:val="00E30981"/>
    <w:rsid w:val="00E327CA"/>
    <w:rsid w:val="00E33136"/>
    <w:rsid w:val="00E34D7C"/>
    <w:rsid w:val="00E3723D"/>
    <w:rsid w:val="00E44C89"/>
    <w:rsid w:val="00E457A6"/>
    <w:rsid w:val="00E54F9E"/>
    <w:rsid w:val="00E60F89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4840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35194"/>
    <w:rsid w:val="00F5696E"/>
    <w:rsid w:val="00F60EFF"/>
    <w:rsid w:val="00F67D2D"/>
    <w:rsid w:val="00F7302C"/>
    <w:rsid w:val="00F735CB"/>
    <w:rsid w:val="00F7545D"/>
    <w:rsid w:val="00F858F2"/>
    <w:rsid w:val="00F860CC"/>
    <w:rsid w:val="00F94398"/>
    <w:rsid w:val="00FB2B56"/>
    <w:rsid w:val="00FB55D5"/>
    <w:rsid w:val="00FB6349"/>
    <w:rsid w:val="00FC12BF"/>
    <w:rsid w:val="00FC2C60"/>
    <w:rsid w:val="00FD3E6F"/>
    <w:rsid w:val="00FD51B9"/>
    <w:rsid w:val="00FD5849"/>
    <w:rsid w:val="00FE03E4"/>
    <w:rsid w:val="00FE2A39"/>
    <w:rsid w:val="00FE7D4D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430085-F560-41DC-9A01-B36436EF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TFHC\ArtsNT\Grant%20Management%20(2021-22)\1.%202021-22%20Arts%20and%20Culture%20Grants%20Program%20$X,XXX,XXX\Communications\Assessment%20Reports\Assessment%20Report%20Statistic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TFHC\ArtsNT\Grant%20Management%20(2021-22)\1.%202021-22%20Arts%20and%20Culture%20Grants%20Program%20$X,XXX,XXX\Communications\Assessment%20Reports\Assessment%20Report%20Statistic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TFHC\ArtsNT\Grant%20Management%20(2021-22)\1.%202021-22%20Arts%20and%20Culture%20Grants%20Program%20$X,XXX,XXX\Communications\Assessment%20Reports\Assessment%20Report%20Statistic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Project Category</a:t>
            </a:r>
          </a:p>
        </c:rich>
      </c:tx>
      <c:layout>
        <c:manualLayout>
          <c:xMode val="edge"/>
          <c:yMode val="edge"/>
          <c:x val="0.56755411500974384"/>
          <c:y val="0.112807985615971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460865765538954"/>
          <c:y val="8.0919617668112329E-2"/>
          <c:w val="0.29257741624634298"/>
          <c:h val="0.85144721883026653"/>
        </c:manualLayout>
      </c:layout>
      <c:pieChart>
        <c:varyColors val="1"/>
        <c:ser>
          <c:idx val="0"/>
          <c:order val="0"/>
          <c:tx>
            <c:strRef>
              <c:f>'AID  2021-22'!$C$24</c:f>
              <c:strCache>
                <c:ptCount val="1"/>
                <c:pt idx="0">
                  <c:v>INVESTMENT</c:v>
                </c:pt>
              </c:strCache>
            </c:strRef>
          </c:tx>
          <c:dPt>
            <c:idx val="0"/>
            <c:bubble3D val="0"/>
            <c:spPr>
              <a:solidFill>
                <a:schemeClr val="accent2">
                  <a:tint val="77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76D-4A94-A2B6-4FA7740F6753}"/>
              </c:ext>
            </c:extLst>
          </c:dPt>
          <c:dPt>
            <c:idx val="1"/>
            <c:bubble3D val="0"/>
            <c:spPr>
              <a:solidFill>
                <a:schemeClr val="accent2">
                  <a:shade val="76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76D-4A94-A2B6-4FA7740F6753}"/>
              </c:ext>
            </c:extLst>
          </c:dPt>
          <c:dPt>
            <c:idx val="2"/>
            <c:bubble3D val="0"/>
            <c:spPr>
              <a:solidFill>
                <a:schemeClr val="accent2">
                  <a:shade val="76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76D-4A94-A2B6-4FA7740F6753}"/>
              </c:ext>
            </c:extLst>
          </c:dPt>
          <c:dPt>
            <c:idx val="3"/>
            <c:bubble3D val="0"/>
            <c:spPr>
              <a:solidFill>
                <a:schemeClr val="accent2">
                  <a:shade val="76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76D-4A94-A2B6-4FA7740F6753}"/>
              </c:ext>
            </c:extLst>
          </c:dPt>
          <c:dPt>
            <c:idx val="4"/>
            <c:bubble3D val="0"/>
            <c:spPr>
              <a:solidFill>
                <a:schemeClr val="accent2">
                  <a:shade val="76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76D-4A94-A2B6-4FA7740F6753}"/>
              </c:ext>
            </c:extLst>
          </c:dPt>
          <c:dPt>
            <c:idx val="5"/>
            <c:bubble3D val="0"/>
            <c:spPr>
              <a:solidFill>
                <a:schemeClr val="accent2">
                  <a:shade val="76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A76D-4A94-A2B6-4FA7740F6753}"/>
              </c:ext>
            </c:extLst>
          </c:dPt>
          <c:dPt>
            <c:idx val="6"/>
            <c:bubble3D val="0"/>
            <c:spPr>
              <a:solidFill>
                <a:schemeClr val="accent2">
                  <a:shade val="76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A76D-4A94-A2B6-4FA7740F675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'AID  2021-22'!$B$25:$B$26</c:f>
              <c:strCache>
                <c:ptCount val="2"/>
                <c:pt idx="0">
                  <c:v>Arts Access</c:v>
                </c:pt>
                <c:pt idx="1">
                  <c:v>Succession Planning</c:v>
                </c:pt>
              </c:strCache>
            </c:strRef>
          </c:cat>
          <c:val>
            <c:numRef>
              <c:f>'AID  2021-22'!$C$25:$C$26</c:f>
              <c:numCache>
                <c:formatCode>_-"$"* #,##0_-;\-"$"* #,##0_-;_-"$"* "-"??_-;_-@_-</c:formatCode>
                <c:ptCount val="2"/>
                <c:pt idx="0">
                  <c:v>56660</c:v>
                </c:pt>
                <c:pt idx="1">
                  <c:v>103039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A76D-4A94-A2B6-4FA7740F6753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extLst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0984613692858405"/>
          <c:y val="0.30918943955534972"/>
          <c:w val="0.44305189555117397"/>
          <c:h val="0.3180815485312658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Applicant</a:t>
            </a:r>
            <a:r>
              <a:rPr lang="en-US" sz="1200" baseline="0"/>
              <a:t> Region</a:t>
            </a:r>
            <a:endParaRPr lang="en-US" sz="1200"/>
          </a:p>
        </c:rich>
      </c:tx>
      <c:layout>
        <c:manualLayout>
          <c:xMode val="edge"/>
          <c:yMode val="edge"/>
          <c:x val="0.5938049684578901"/>
          <c:y val="9.51993903987807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743656078271363"/>
          <c:y val="9.1044675565286962E-2"/>
          <c:w val="0.30131320409645596"/>
          <c:h val="0.87686976293738672"/>
        </c:manualLayout>
      </c:layout>
      <c:pieChart>
        <c:varyColors val="1"/>
        <c:ser>
          <c:idx val="0"/>
          <c:order val="0"/>
          <c:tx>
            <c:strRef>
              <c:f>'AID  2021-22'!$C$14</c:f>
              <c:strCache>
                <c:ptCount val="1"/>
                <c:pt idx="0">
                  <c:v>INVESTMENT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C34-4166-B6CB-27BC17B7BFE0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4C34-4166-B6CB-27BC17B7BFE0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9FE-4879-93A5-AF9AC8D94219}"/>
              </c:ext>
            </c:extLst>
          </c:dPt>
          <c:dPt>
            <c:idx val="3"/>
            <c:bubble3D val="0"/>
            <c:spPr>
              <a:solidFill>
                <a:schemeClr val="dk1">
                  <a:tint val="985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29FE-4879-93A5-AF9AC8D94219}"/>
              </c:ext>
            </c:extLst>
          </c:dPt>
          <c:dPt>
            <c:idx val="4"/>
            <c:bubble3D val="0"/>
            <c:spPr>
              <a:solidFill>
                <a:schemeClr val="dk1">
                  <a:tint val="3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29FE-4879-93A5-AF9AC8D94219}"/>
              </c:ext>
            </c:extLst>
          </c:dPt>
          <c:dPt>
            <c:idx val="5"/>
            <c:bubble3D val="0"/>
            <c:spPr>
              <a:solidFill>
                <a:schemeClr val="dk1">
                  <a:tint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978A-4677-AC9D-93178F001C2D}"/>
              </c:ext>
            </c:extLst>
          </c:dPt>
          <c:dPt>
            <c:idx val="6"/>
            <c:bubble3D val="0"/>
            <c:spPr>
              <a:solidFill>
                <a:schemeClr val="dk1">
                  <a:tint val="8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9FE-4879-93A5-AF9AC8D94219}"/>
              </c:ext>
            </c:extLst>
          </c:dPt>
          <c:dLbls>
            <c:dLbl>
              <c:idx val="1"/>
              <c:layout>
                <c:manualLayout>
                  <c:x val="6.138768015840125E-2"/>
                  <c:y val="0.1643681314029294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C34-4166-B6CB-27BC17B7BFE0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9FE-4879-93A5-AF9AC8D94219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9FE-4879-93A5-AF9AC8D94219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9FE-4879-93A5-AF9AC8D94219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9FE-4879-93A5-AF9AC8D942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'AID  2021-22'!$B$15:$B$16</c:f>
              <c:strCache>
                <c:ptCount val="2"/>
                <c:pt idx="0">
                  <c:v>Greater Darwin</c:v>
                </c:pt>
                <c:pt idx="1">
                  <c:v>Central Australia</c:v>
                </c:pt>
              </c:strCache>
            </c:strRef>
          </c:cat>
          <c:val>
            <c:numRef>
              <c:f>'AID  2021-22'!$C$15:$C$16</c:f>
              <c:numCache>
                <c:formatCode>_-"$"* #,##0_-;\-"$"* #,##0_-;_-"$"* "-"??_-;_-@_-</c:formatCode>
                <c:ptCount val="2"/>
                <c:pt idx="0">
                  <c:v>139500</c:v>
                </c:pt>
                <c:pt idx="1">
                  <c:v>20199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C34-4166-B6CB-27BC17B7BFE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4036843795848566"/>
          <c:y val="0.32779569666091202"/>
          <c:w val="0.41400394134856627"/>
          <c:h val="0.35704745462966864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Art Form Category</a:t>
            </a:r>
          </a:p>
        </c:rich>
      </c:tx>
      <c:layout>
        <c:manualLayout>
          <c:xMode val="edge"/>
          <c:yMode val="edge"/>
          <c:x val="0.57694672718311968"/>
          <c:y val="6.13587073327992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747525081966738"/>
          <c:y val="0.20139024023270977"/>
          <c:w val="0.30460923641435672"/>
          <c:h val="0.527924670244244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0CE-4C1B-85E3-930E26DE077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0CE-4C1B-85E3-930E26DE077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0CE-4C1B-85E3-930E26DE077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0CE-4C1B-85E3-930E26DE077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D0CE-4C1B-85E3-930E26DE077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D0CE-4C1B-85E3-930E26DE077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D0CE-4C1B-85E3-930E26DE077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D831-4EA1-B240-0EBF30AA93A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6EB2-4B0B-99BB-FB72513E1440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6EB2-4B0B-99BB-FB72513E1440}"/>
              </c:ext>
            </c:extLst>
          </c:dPt>
          <c:dLbls>
            <c:dLbl>
              <c:idx val="0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0CE-4C1B-85E3-930E26DE077A}"/>
                </c:ext>
              </c:extLst>
            </c:dLbl>
            <c:dLbl>
              <c:idx val="5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0CE-4C1B-85E3-930E26DE077A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831-4EA1-B240-0EBF30AA93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'AID  2021-22'!$B$2:$B$8</c:f>
              <c:strCache>
                <c:ptCount val="7"/>
                <c:pt idx="0">
                  <c:v>Community Arts and Cultural Development</c:v>
                </c:pt>
                <c:pt idx="1">
                  <c:v>Theatre</c:v>
                </c:pt>
                <c:pt idx="2">
                  <c:v>Music</c:v>
                </c:pt>
                <c:pt idx="3">
                  <c:v>Circus and Physical Theatre</c:v>
                </c:pt>
                <c:pt idx="4">
                  <c:v>Cross art form (multi arts)</c:v>
                </c:pt>
                <c:pt idx="5">
                  <c:v>Visual Arts and Crafts</c:v>
                </c:pt>
                <c:pt idx="6">
                  <c:v>Dance</c:v>
                </c:pt>
              </c:strCache>
            </c:strRef>
          </c:cat>
          <c:val>
            <c:numRef>
              <c:f>'AID  2021-22'!$C$2:$C$8</c:f>
              <c:numCache>
                <c:formatCode>_-"$"* #,##0_-;\-"$"* #,##0_-;_-"$"* "-"??_-;_-@_-</c:formatCode>
                <c:ptCount val="7"/>
                <c:pt idx="0">
                  <c:v>30000</c:v>
                </c:pt>
                <c:pt idx="1">
                  <c:v>26660</c:v>
                </c:pt>
                <c:pt idx="2">
                  <c:v>25000</c:v>
                </c:pt>
                <c:pt idx="3">
                  <c:v>25000</c:v>
                </c:pt>
                <c:pt idx="4">
                  <c:v>25000</c:v>
                </c:pt>
                <c:pt idx="5">
                  <c:v>20199</c:v>
                </c:pt>
                <c:pt idx="6">
                  <c:v>7840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D0CE-4C1B-85E3-930E26DE077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5"/>
        <c:delete val="1"/>
      </c:legendEntry>
      <c:layout>
        <c:manualLayout>
          <c:xMode val="edge"/>
          <c:yMode val="edge"/>
          <c:x val="0.50943377116449196"/>
          <c:y val="0.19946637243592957"/>
          <c:w val="0.45799975113364411"/>
          <c:h val="0.75459250714679771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2022-04-14T00:00:00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EAFD7A-0A42-4005-A1C1-B5056FE9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2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2021-22 Arts Industry Development 
Awarded Grants</vt:lpstr>
    </vt:vector>
  </TitlesOfParts>
  <Company>TERRITORY FAMILIES, HOUSING AND COMMUNITIES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2021-22 Arts Industry Development 
Awarded Grants</dc:title>
  <dc:creator>Northern Territory Government</dc:creator>
  <cp:lastModifiedBy>Beia Capaque</cp:lastModifiedBy>
  <cp:revision>3</cp:revision>
  <cp:lastPrinted>2022-04-20T07:05:00Z</cp:lastPrinted>
  <dcterms:created xsi:type="dcterms:W3CDTF">2022-05-19T23:35:00Z</dcterms:created>
  <dcterms:modified xsi:type="dcterms:W3CDTF">2022-05-20T01:33:00Z</dcterms:modified>
</cp:coreProperties>
</file>