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E327" w14:textId="0E3BB40E" w:rsidR="00274A06" w:rsidRPr="00D1668D" w:rsidRDefault="00C14090" w:rsidP="00C14090">
      <w:pPr>
        <w:rPr>
          <w:i/>
          <w:lang w:eastAsia="en-AU"/>
        </w:rPr>
      </w:pPr>
      <w:r w:rsidRPr="00F352B8">
        <w:rPr>
          <w:lang w:eastAsia="en-AU"/>
        </w:rPr>
        <w:t>T</w:t>
      </w:r>
      <w:r>
        <w:rPr>
          <w:lang w:eastAsia="en-AU"/>
        </w:rPr>
        <w:t>he 2017</w:t>
      </w:r>
      <w:r w:rsidR="00D1668D">
        <w:rPr>
          <w:lang w:eastAsia="en-AU"/>
        </w:rPr>
        <w:t>-</w:t>
      </w:r>
      <w:r>
        <w:rPr>
          <w:lang w:eastAsia="en-AU"/>
        </w:rPr>
        <w:t xml:space="preserve">18 Northern Territory Arts Grants Program </w:t>
      </w:r>
      <w:r w:rsidR="00274A06">
        <w:rPr>
          <w:lang w:eastAsia="en-AU"/>
        </w:rPr>
        <w:t xml:space="preserve">offered the Strategic Arts Program </w:t>
      </w:r>
      <w:r>
        <w:rPr>
          <w:lang w:eastAsia="en-AU"/>
        </w:rPr>
        <w:t>to support</w:t>
      </w:r>
      <w:r w:rsidR="00274A06">
        <w:rPr>
          <w:lang w:eastAsia="en-AU"/>
        </w:rPr>
        <w:t xml:space="preserve"> </w:t>
      </w:r>
      <w:r w:rsidR="00D1668D">
        <w:rPr>
          <w:lang w:eastAsia="en-AU"/>
        </w:rPr>
        <w:t xml:space="preserve">new initiatives </w:t>
      </w:r>
      <w:r w:rsidR="00274A06" w:rsidRPr="00274A06">
        <w:rPr>
          <w:lang w:eastAsia="en-AU"/>
        </w:rPr>
        <w:t>that deliver on the priorities of</w:t>
      </w:r>
      <w:r w:rsidR="00D1668D">
        <w:rPr>
          <w:lang w:eastAsia="en-AU"/>
        </w:rPr>
        <w:t xml:space="preserve"> the </w:t>
      </w:r>
      <w:r w:rsidR="00D1668D" w:rsidRPr="00D1668D">
        <w:rPr>
          <w:lang w:eastAsia="en-AU"/>
        </w:rPr>
        <w:t>N</w:t>
      </w:r>
      <w:r w:rsidR="00D1668D">
        <w:rPr>
          <w:lang w:eastAsia="en-AU"/>
        </w:rPr>
        <w:t>orthern Territory</w:t>
      </w:r>
      <w:r w:rsidR="00D1668D" w:rsidRPr="00D1668D">
        <w:rPr>
          <w:lang w:eastAsia="en-AU"/>
        </w:rPr>
        <w:t xml:space="preserve">’s arts and cultural policy </w:t>
      </w:r>
      <w:hyperlink r:id="rId9" w:history="1">
        <w:r w:rsidR="00D1668D" w:rsidRPr="00D1668D">
          <w:rPr>
            <w:rStyle w:val="Hyperlink"/>
            <w:lang w:eastAsia="en-AU"/>
          </w:rPr>
          <w:t>Vibrant NT</w:t>
        </w:r>
      </w:hyperlink>
      <w:r w:rsidR="00274A06" w:rsidRPr="00D1668D">
        <w:rPr>
          <w:i/>
          <w:lang w:eastAsia="en-AU"/>
        </w:rPr>
        <w:t>.</w:t>
      </w:r>
      <w:r w:rsidR="00D1668D">
        <w:rPr>
          <w:i/>
          <w:lang w:eastAsia="en-AU"/>
        </w:rPr>
        <w:br/>
      </w:r>
      <w:r w:rsidR="00274A06" w:rsidRPr="00D1668D">
        <w:rPr>
          <w:lang w:eastAsia="en-AU"/>
        </w:rPr>
        <w:t xml:space="preserve">The following </w:t>
      </w:r>
      <w:r w:rsidR="00D1668D">
        <w:rPr>
          <w:lang w:eastAsia="en-AU"/>
        </w:rPr>
        <w:t xml:space="preserve">categories </w:t>
      </w:r>
      <w:proofErr w:type="gramStart"/>
      <w:r w:rsidR="00274A06" w:rsidRPr="00D1668D">
        <w:rPr>
          <w:lang w:eastAsia="en-AU"/>
        </w:rPr>
        <w:t>were offered</w:t>
      </w:r>
      <w:proofErr w:type="gramEnd"/>
      <w:r w:rsidR="00274A06" w:rsidRPr="00D1668D">
        <w:rPr>
          <w:i/>
          <w:lang w:eastAsia="en-AU"/>
        </w:rPr>
        <w:t>:</w:t>
      </w:r>
    </w:p>
    <w:p w14:paraId="6A5929D4" w14:textId="1DE769AF" w:rsidR="00274A06" w:rsidRDefault="00D1668D" w:rsidP="00274A06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274A06">
        <w:rPr>
          <w:lang w:eastAsia="en-AU"/>
        </w:rPr>
        <w:t>p to $25,000 per grant to support Access for Artists with Disabilities</w:t>
      </w:r>
    </w:p>
    <w:p w14:paraId="79A6A1F9" w14:textId="77777777" w:rsidR="00274A06" w:rsidRDefault="00D1668D" w:rsidP="00274A06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274A06">
        <w:rPr>
          <w:lang w:eastAsia="en-AU"/>
        </w:rPr>
        <w:t>p to $25,000 per grant to support Independent Producers and Curators</w:t>
      </w:r>
    </w:p>
    <w:p w14:paraId="08A0C63F" w14:textId="77777777" w:rsidR="00A53104" w:rsidRDefault="00D1668D" w:rsidP="00274A06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A53104">
        <w:rPr>
          <w:lang w:eastAsia="en-AU"/>
        </w:rPr>
        <w:t>p to $25,000 per grant for Community Festival Capacity Building</w:t>
      </w:r>
    </w:p>
    <w:p w14:paraId="1AE20ADF" w14:textId="75BA889D" w:rsidR="00C14090" w:rsidRDefault="00D1668D" w:rsidP="00C14090">
      <w:pPr>
        <w:pStyle w:val="ListParagraph"/>
        <w:numPr>
          <w:ilvl w:val="0"/>
          <w:numId w:val="49"/>
        </w:numPr>
        <w:rPr>
          <w:lang w:eastAsia="en-AU"/>
        </w:rPr>
      </w:pPr>
      <w:proofErr w:type="gramStart"/>
      <w:r>
        <w:rPr>
          <w:lang w:eastAsia="en-AU"/>
        </w:rPr>
        <w:t>u</w:t>
      </w:r>
      <w:r w:rsidR="00274A06">
        <w:rPr>
          <w:lang w:eastAsia="en-AU"/>
        </w:rPr>
        <w:t>p</w:t>
      </w:r>
      <w:proofErr w:type="gramEnd"/>
      <w:r w:rsidR="00274A06">
        <w:rPr>
          <w:lang w:eastAsia="en-AU"/>
        </w:rPr>
        <w:t xml:space="preserve"> to $100,000 per grant to support Arts Industry Development</w:t>
      </w:r>
      <w:r>
        <w:rPr>
          <w:lang w:eastAsia="en-AU"/>
        </w:rPr>
        <w:t>.</w:t>
      </w:r>
      <w:r w:rsidR="00545CF8">
        <w:rPr>
          <w:lang w:eastAsia="en-AU"/>
        </w:rPr>
        <w:br/>
      </w:r>
    </w:p>
    <w:p w14:paraId="6CC7D863" w14:textId="3948CBC0" w:rsidR="00C14090" w:rsidRDefault="008D5C05" w:rsidP="00C14090">
      <w:pPr>
        <w:pStyle w:val="Heading1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04F7BA56" wp14:editId="7DAD8ACB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3361690" cy="1847850"/>
            <wp:effectExtent l="0" t="0" r="10160" b="0"/>
            <wp:wrapSquare wrapText="bothSides"/>
            <wp:docPr id="1" name="Chart 1" descr="The chart shows that 25% of the funding went towards arts industry development, 30% went towards supporting access for artists with disabilities, 18% supported community festivals capacity building and 18% supported independent creative professionals." title="Funding per categor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04">
        <w:rPr>
          <w:lang w:eastAsia="en-AU"/>
        </w:rPr>
        <w:t>$4</w:t>
      </w:r>
      <w:r w:rsidR="00E82205">
        <w:rPr>
          <w:lang w:eastAsia="en-AU"/>
        </w:rPr>
        <w:t>00,</w:t>
      </w:r>
      <w:bookmarkStart w:id="0" w:name="_GoBack"/>
      <w:bookmarkEnd w:id="0"/>
      <w:r w:rsidR="00C14090" w:rsidRPr="00F352B8">
        <w:rPr>
          <w:lang w:eastAsia="en-AU"/>
        </w:rPr>
        <w:t>000 in grants awarded</w:t>
      </w:r>
    </w:p>
    <w:p w14:paraId="49C543D4" w14:textId="26D0F409" w:rsidR="00C14090" w:rsidRDefault="00C14090" w:rsidP="006D5DCC">
      <w:pPr>
        <w:rPr>
          <w:lang w:eastAsia="en-AU"/>
        </w:rPr>
      </w:pPr>
      <w:r w:rsidRPr="00F352B8">
        <w:rPr>
          <w:lang w:eastAsia="en-AU"/>
        </w:rPr>
        <w:t>Arts NT received</w:t>
      </w:r>
      <w:r w:rsidR="00505001">
        <w:rPr>
          <w:lang w:eastAsia="en-AU"/>
        </w:rPr>
        <w:t xml:space="preserve"> </w:t>
      </w:r>
      <w:r w:rsidR="00A53104">
        <w:rPr>
          <w:lang w:eastAsia="en-AU"/>
        </w:rPr>
        <w:t xml:space="preserve">21 applications to the </w:t>
      </w:r>
      <w:r w:rsidR="00614FE8">
        <w:rPr>
          <w:lang w:eastAsia="en-AU"/>
        </w:rPr>
        <w:br/>
      </w:r>
      <w:r w:rsidR="00D1668D">
        <w:rPr>
          <w:lang w:eastAsia="en-AU"/>
        </w:rPr>
        <w:t>Strategic Arts Program</w:t>
      </w:r>
      <w:r w:rsidRPr="00F352B8">
        <w:rPr>
          <w:lang w:eastAsia="en-AU"/>
        </w:rPr>
        <w:t>.</w:t>
      </w:r>
      <w:r>
        <w:rPr>
          <w:lang w:eastAsia="en-AU"/>
        </w:rPr>
        <w:t xml:space="preserve"> </w:t>
      </w:r>
      <w:r w:rsidR="00A53104">
        <w:rPr>
          <w:lang w:eastAsia="en-AU"/>
        </w:rPr>
        <w:t>F</w:t>
      </w:r>
      <w:r>
        <w:rPr>
          <w:lang w:eastAsia="en-AU"/>
        </w:rPr>
        <w:t xml:space="preserve">unding </w:t>
      </w:r>
      <w:proofErr w:type="gramStart"/>
      <w:r>
        <w:rPr>
          <w:lang w:eastAsia="en-AU"/>
        </w:rPr>
        <w:t>was offered</w:t>
      </w:r>
      <w:proofErr w:type="gramEnd"/>
      <w:r>
        <w:rPr>
          <w:lang w:eastAsia="en-AU"/>
        </w:rPr>
        <w:t xml:space="preserve"> </w:t>
      </w:r>
      <w:r w:rsidR="00614FE8">
        <w:rPr>
          <w:lang w:eastAsia="en-AU"/>
        </w:rPr>
        <w:br/>
      </w:r>
      <w:r>
        <w:rPr>
          <w:lang w:eastAsia="en-AU"/>
        </w:rPr>
        <w:t xml:space="preserve">to </w:t>
      </w:r>
      <w:r w:rsidR="00A53104">
        <w:rPr>
          <w:lang w:eastAsia="en-AU"/>
        </w:rPr>
        <w:t xml:space="preserve">17 </w:t>
      </w:r>
      <w:r w:rsidRPr="00F352B8">
        <w:rPr>
          <w:lang w:eastAsia="en-AU"/>
        </w:rPr>
        <w:t xml:space="preserve">successful applications following the </w:t>
      </w:r>
      <w:r w:rsidR="005428D2">
        <w:rPr>
          <w:lang w:eastAsia="en-AU"/>
        </w:rPr>
        <w:t xml:space="preserve">recommendations </w:t>
      </w:r>
      <w:r w:rsidRPr="00F352B8">
        <w:rPr>
          <w:lang w:eastAsia="en-AU"/>
        </w:rPr>
        <w:t>made by a peer assessment panel.</w:t>
      </w:r>
      <w:r w:rsidRPr="00570600">
        <w:rPr>
          <w:noProof/>
          <w:lang w:eastAsia="en-AU"/>
        </w:rPr>
        <w:t xml:space="preserve"> </w:t>
      </w:r>
    </w:p>
    <w:p w14:paraId="2FC7EB37" w14:textId="7B550BD1" w:rsidR="00C14090" w:rsidRDefault="00C14090" w:rsidP="00C14090">
      <w:pPr>
        <w:pStyle w:val="Heading1"/>
        <w:rPr>
          <w:lang w:eastAsia="en-AU"/>
        </w:rPr>
      </w:pPr>
      <w:r>
        <w:rPr>
          <w:lang w:eastAsia="en-AU"/>
        </w:rPr>
        <w:t>Assessment Panel</w:t>
      </w:r>
      <w:r w:rsidR="00BD6233" w:rsidRPr="00BD6233">
        <w:rPr>
          <w:noProof/>
          <w:lang w:eastAsia="en-AU"/>
        </w:rPr>
        <w:t xml:space="preserve"> </w:t>
      </w:r>
    </w:p>
    <w:p w14:paraId="23977699" w14:textId="28744341" w:rsidR="00A53104" w:rsidRPr="00F352B8" w:rsidRDefault="008D5C05" w:rsidP="00954384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4E38EEFC" wp14:editId="7514D594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3371850" cy="1933575"/>
            <wp:effectExtent l="0" t="0" r="0" b="9525"/>
            <wp:wrapSquare wrapText="bothSides"/>
            <wp:docPr id="5" name="Chart 5" descr="59% of successful applicants live in Darwin or rural Darwin. 35% of applicants are based in Alice Springs and 6% of applicants reside in Katherine." title="Applicant's place of reside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090" w:rsidRPr="00F352B8">
        <w:rPr>
          <w:lang w:eastAsia="en-AU"/>
        </w:rPr>
        <w:t>The panel</w:t>
      </w:r>
      <w:r w:rsidR="00A53104">
        <w:rPr>
          <w:lang w:eastAsia="en-AU"/>
        </w:rPr>
        <w:t xml:space="preserve"> </w:t>
      </w:r>
      <w:proofErr w:type="gramStart"/>
      <w:r w:rsidR="00A53104">
        <w:rPr>
          <w:lang w:eastAsia="en-AU"/>
        </w:rPr>
        <w:t>was</w:t>
      </w:r>
      <w:r w:rsidR="00C14090" w:rsidRPr="00F352B8">
        <w:rPr>
          <w:lang w:eastAsia="en-AU"/>
        </w:rPr>
        <w:t xml:space="preserve"> selected</w:t>
      </w:r>
      <w:proofErr w:type="gramEnd"/>
      <w:r w:rsidR="00C14090" w:rsidRPr="00F352B8">
        <w:rPr>
          <w:lang w:eastAsia="en-AU"/>
        </w:rPr>
        <w:t xml:space="preserve"> from the</w:t>
      </w:r>
      <w:r w:rsidR="00954384">
        <w:rPr>
          <w:lang w:eastAsia="en-AU"/>
        </w:rPr>
        <w:t xml:space="preserve"> Northern Territory’s Register of Arts Peers. </w:t>
      </w:r>
      <w:r w:rsidR="00F157C1">
        <w:rPr>
          <w:lang w:eastAsia="en-AU"/>
        </w:rPr>
        <w:t xml:space="preserve">The </w:t>
      </w:r>
      <w:proofErr w:type="gramStart"/>
      <w:r w:rsidR="00F157C1">
        <w:rPr>
          <w:lang w:eastAsia="en-AU"/>
        </w:rPr>
        <w:t>register was approved by the Minister</w:t>
      </w:r>
      <w:proofErr w:type="gramEnd"/>
      <w:r w:rsidR="00F157C1">
        <w:rPr>
          <w:lang w:eastAsia="en-AU"/>
        </w:rPr>
        <w:t xml:space="preserve"> for Tourism, Sport and Culture and the members are listed </w:t>
      </w:r>
      <w:r w:rsidR="00954384">
        <w:rPr>
          <w:noProof/>
          <w:lang w:eastAsia="en-AU"/>
        </w:rPr>
        <w:t xml:space="preserve">in the </w:t>
      </w:r>
      <w:r w:rsidR="00954384" w:rsidRPr="0042460B">
        <w:rPr>
          <w:noProof/>
          <w:lang w:eastAsia="en-AU"/>
        </w:rPr>
        <w:t>Department’s 2017-18 Annual Report</w:t>
      </w:r>
      <w:r w:rsidR="00954384">
        <w:rPr>
          <w:noProof/>
          <w:lang w:eastAsia="en-AU"/>
        </w:rPr>
        <w:t>.</w:t>
      </w:r>
      <w:r w:rsidR="00BD6233" w:rsidRPr="00BD6233">
        <w:rPr>
          <w:noProof/>
          <w:lang w:eastAsia="en-AU"/>
        </w:rPr>
        <w:t xml:space="preserve"> </w:t>
      </w:r>
      <w:r w:rsidR="008D1343">
        <w:rPr>
          <w:noProof/>
          <w:lang w:eastAsia="en-AU"/>
        </w:rPr>
        <w:br/>
        <w:t>The c</w:t>
      </w:r>
      <w:r w:rsidR="00CD74A6">
        <w:rPr>
          <w:noProof/>
          <w:lang w:eastAsia="en-AU"/>
        </w:rPr>
        <w:t xml:space="preserve">urrent </w:t>
      </w:r>
      <w:r w:rsidR="008D1343">
        <w:rPr>
          <w:noProof/>
          <w:lang w:eastAsia="en-AU"/>
        </w:rPr>
        <w:t>R</w:t>
      </w:r>
      <w:r w:rsidR="00CD74A6">
        <w:rPr>
          <w:noProof/>
          <w:lang w:eastAsia="en-AU"/>
        </w:rPr>
        <w:t xml:space="preserve">egister of Arts Peers expires </w:t>
      </w:r>
      <w:r w:rsidR="008D1343">
        <w:rPr>
          <w:noProof/>
          <w:lang w:eastAsia="en-AU"/>
        </w:rPr>
        <w:br/>
      </w:r>
      <w:r w:rsidR="00CD74A6">
        <w:rPr>
          <w:noProof/>
          <w:lang w:eastAsia="en-AU"/>
        </w:rPr>
        <w:t>30 June 2020.</w:t>
      </w:r>
    </w:p>
    <w:p w14:paraId="62340BD4" w14:textId="77777777" w:rsidR="00CD74A6" w:rsidRDefault="00CD74A6" w:rsidP="00CD74A6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058ED08E" wp14:editId="26922E9A">
            <wp:simplePos x="0" y="0"/>
            <wp:positionH relativeFrom="margin">
              <wp:posOffset>3169920</wp:posOffset>
            </wp:positionH>
            <wp:positionV relativeFrom="paragraph">
              <wp:posOffset>1226185</wp:posOffset>
            </wp:positionV>
            <wp:extent cx="3371850" cy="1859280"/>
            <wp:effectExtent l="0" t="0" r="0" b="7620"/>
            <wp:wrapSquare wrapText="bothSides"/>
            <wp:docPr id="6" name="Chart 6" descr="This chart shows that 69% of the funding benefits Alice Springs, 25% benefits Darwin and 6% Katherine." title="Funding per reg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090" w:rsidRPr="00F352B8">
        <w:rPr>
          <w:lang w:eastAsia="en-AU"/>
        </w:rPr>
        <w:t xml:space="preserve">The panel considered the merit of all applications against the objectives and assessment criteria. The panel also considered </w:t>
      </w:r>
      <w:proofErr w:type="gramStart"/>
      <w:r w:rsidR="00A53104" w:rsidRPr="00F352B8">
        <w:rPr>
          <w:lang w:eastAsia="en-AU"/>
        </w:rPr>
        <w:t>track</w:t>
      </w:r>
      <w:r w:rsidR="00A53104">
        <w:rPr>
          <w:lang w:eastAsia="en-AU"/>
        </w:rPr>
        <w:t xml:space="preserve"> record</w:t>
      </w:r>
      <w:proofErr w:type="gramEnd"/>
      <w:r w:rsidR="00C14090" w:rsidRPr="00F352B8">
        <w:rPr>
          <w:lang w:eastAsia="en-AU"/>
        </w:rPr>
        <w:t xml:space="preserve"> of support, art form and regional spread, diversity of applicants and participants including new applicants, Indigenous, youth, disability and cultural diversity.</w:t>
      </w:r>
      <w:r w:rsidR="00C61EA9" w:rsidRPr="00C61EA9">
        <w:rPr>
          <w:noProof/>
          <w:lang w:eastAsia="en-AU"/>
        </w:rPr>
        <w:t xml:space="preserve"> </w:t>
      </w:r>
    </w:p>
    <w:p w14:paraId="1054A416" w14:textId="57EAB524" w:rsidR="00C14090" w:rsidRDefault="00C14090" w:rsidP="008D1343">
      <w:pPr>
        <w:pStyle w:val="Heading1"/>
      </w:pPr>
      <w:r>
        <w:t>Statistics</w:t>
      </w:r>
    </w:p>
    <w:p w14:paraId="1A27AD19" w14:textId="5AF709C6" w:rsidR="00A53104" w:rsidRDefault="00BD6233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A53104">
        <w:rPr>
          <w:rFonts w:cs="Arial"/>
          <w:color w:val="000000"/>
        </w:rPr>
        <w:t xml:space="preserve"> applications </w:t>
      </w:r>
      <w:r w:rsidR="00391932">
        <w:rPr>
          <w:rFonts w:cs="Arial"/>
          <w:color w:val="000000"/>
        </w:rPr>
        <w:t>support</w:t>
      </w:r>
      <w:r w:rsidR="00A53104">
        <w:rPr>
          <w:rFonts w:cs="Arial"/>
          <w:color w:val="000000"/>
        </w:rPr>
        <w:t xml:space="preserve"> artists with disabilities</w:t>
      </w:r>
      <w:r w:rsidR="00C61EA9" w:rsidRPr="00C61EA9">
        <w:rPr>
          <w:noProof/>
          <w:lang w:eastAsia="en-AU"/>
        </w:rPr>
        <w:t xml:space="preserve"> </w:t>
      </w:r>
    </w:p>
    <w:p w14:paraId="7F284808" w14:textId="213860AB" w:rsidR="00A53104" w:rsidRDefault="00BD6233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A53104">
        <w:rPr>
          <w:rFonts w:cs="Arial"/>
          <w:color w:val="000000"/>
        </w:rPr>
        <w:t xml:space="preserve"> applications </w:t>
      </w:r>
      <w:r w:rsidR="00391932">
        <w:rPr>
          <w:rFonts w:cs="Arial"/>
          <w:color w:val="000000"/>
        </w:rPr>
        <w:t>support</w:t>
      </w:r>
      <w:r w:rsidR="00A53104">
        <w:rPr>
          <w:rFonts w:cs="Arial"/>
          <w:color w:val="000000"/>
        </w:rPr>
        <w:t xml:space="preserve"> independent </w:t>
      </w:r>
      <w:r w:rsidR="00A32087">
        <w:rPr>
          <w:rFonts w:cs="Arial"/>
          <w:color w:val="000000"/>
        </w:rPr>
        <w:t>artists</w:t>
      </w:r>
    </w:p>
    <w:p w14:paraId="476064B3" w14:textId="2B05A8D0" w:rsidR="00A53104" w:rsidRDefault="00BD6233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A53104">
        <w:rPr>
          <w:rFonts w:cs="Arial"/>
          <w:color w:val="000000"/>
        </w:rPr>
        <w:t xml:space="preserve"> applications </w:t>
      </w:r>
      <w:r w:rsidR="00A32087">
        <w:rPr>
          <w:rFonts w:cs="Arial"/>
          <w:color w:val="000000"/>
        </w:rPr>
        <w:t xml:space="preserve">support </w:t>
      </w:r>
      <w:r w:rsidR="00A53104">
        <w:rPr>
          <w:rFonts w:cs="Arial"/>
          <w:color w:val="000000"/>
        </w:rPr>
        <w:t>Festivals</w:t>
      </w:r>
    </w:p>
    <w:p w14:paraId="5804025D" w14:textId="64D2BF76" w:rsidR="00A32087" w:rsidRDefault="00BD6233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A32087">
        <w:rPr>
          <w:rFonts w:cs="Arial"/>
          <w:color w:val="000000"/>
        </w:rPr>
        <w:t xml:space="preserve"> application supports industry development</w:t>
      </w:r>
    </w:p>
    <w:p w14:paraId="2CDB93BC" w14:textId="77777777" w:rsidR="00C14090" w:rsidRDefault="00C14090" w:rsidP="00A53104">
      <w:pPr>
        <w:spacing w:after="0" w:line="360" w:lineRule="auto"/>
        <w:ind w:left="284"/>
        <w:rPr>
          <w:rFonts w:cs="Arial"/>
          <w:color w:val="000000"/>
        </w:rPr>
        <w:sectPr w:rsidR="00C14090" w:rsidSect="00956BC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55D534EC" w14:textId="57918650" w:rsidR="006D5DCC" w:rsidRDefault="00962193" w:rsidP="006D5DCC">
      <w:pPr>
        <w:pStyle w:val="Heading1"/>
      </w:pPr>
      <w:r w:rsidRPr="006D5DCC">
        <w:lastRenderedPageBreak/>
        <w:t xml:space="preserve">Strategic Arts Program </w:t>
      </w:r>
      <w:r w:rsidR="006D5DCC">
        <w:t>Grant Recipients</w:t>
      </w:r>
    </w:p>
    <w:p w14:paraId="04AF80E4" w14:textId="746D4A4E" w:rsidR="006D5DCC" w:rsidRDefault="006D5DCC" w:rsidP="00C14090">
      <w:r>
        <w:t>C</w:t>
      </w:r>
      <w:r w:rsidR="00C14090" w:rsidRPr="006D5DCC">
        <w:t xml:space="preserve">losed </w:t>
      </w:r>
      <w:r w:rsidR="00C4618D" w:rsidRPr="006D5DCC">
        <w:t>1</w:t>
      </w:r>
      <w:r w:rsidR="00C14090" w:rsidRPr="006D5DCC">
        <w:t xml:space="preserve">6 </w:t>
      </w:r>
      <w:r w:rsidR="00C4618D" w:rsidRPr="006D5DCC">
        <w:t>March</w:t>
      </w:r>
      <w:r w:rsidR="00C14090" w:rsidRPr="006D5DCC">
        <w:t xml:space="preserve"> 201</w:t>
      </w:r>
      <w:r w:rsidR="00C4618D" w:rsidRPr="006D5DCC">
        <w:t>8</w:t>
      </w:r>
      <w:r w:rsidR="00C14090" w:rsidRPr="006D5DCC">
        <w:t xml:space="preserve"> for </w:t>
      </w:r>
      <w:r w:rsidR="00C4618D" w:rsidRPr="006D5DCC">
        <w:t xml:space="preserve">activities to </w:t>
      </w:r>
      <w:r w:rsidR="00C14090" w:rsidRPr="006D5DCC">
        <w:t xml:space="preserve">commence 1 </w:t>
      </w:r>
      <w:r w:rsidR="00C4618D" w:rsidRPr="006D5DCC">
        <w:t>July</w:t>
      </w:r>
      <w:r w:rsidR="00C14090" w:rsidRPr="006D5DCC">
        <w:t xml:space="preserve"> 2018.</w:t>
      </w:r>
    </w:p>
    <w:p w14:paraId="1FC88355" w14:textId="263A8774" w:rsidR="004434D1" w:rsidRDefault="004434D1" w:rsidP="004434D1">
      <w:pPr>
        <w:pStyle w:val="Heading2"/>
      </w:pPr>
      <w:r>
        <w:t>Community Festivals Capacity Building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Community Festivals Capacity Building Funding"/>
        <w:tblDescription w:val="This table includes details of the successful applicants for the Community Festivals Capacity Building funding."/>
      </w:tblPr>
      <w:tblGrid>
        <w:gridCol w:w="3810"/>
        <w:gridCol w:w="6250"/>
        <w:gridCol w:w="2551"/>
        <w:gridCol w:w="2629"/>
      </w:tblGrid>
      <w:tr w:rsidR="006D5DCC" w14:paraId="53432857" w14:textId="77777777" w:rsidTr="00443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74DAB39D" w14:textId="1958B3A6" w:rsidR="006D5DCC" w:rsidRDefault="006D5DCC" w:rsidP="00C14090">
            <w:r>
              <w:t>Applicant</w:t>
            </w:r>
          </w:p>
        </w:tc>
        <w:tc>
          <w:tcPr>
            <w:tcW w:w="6250" w:type="dxa"/>
          </w:tcPr>
          <w:p w14:paraId="0529876C" w14:textId="36FCD9E4" w:rsidR="006D5DCC" w:rsidRDefault="004434D1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1" w:type="dxa"/>
          </w:tcPr>
          <w:p w14:paraId="253CF79A" w14:textId="73870470" w:rsidR="006D5DCC" w:rsidRDefault="004434D1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2EF39FB8" w14:textId="75097947" w:rsidR="006D5DCC" w:rsidRDefault="004434D1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6D5DCC" w14:paraId="6A60012F" w14:textId="77777777" w:rsidTr="0044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26F6AEB" w14:textId="49A98743" w:rsidR="006D5DCC" w:rsidRDefault="004434D1" w:rsidP="00C14090">
            <w:proofErr w:type="spellStart"/>
            <w:r>
              <w:t>Artback</w:t>
            </w:r>
            <w:proofErr w:type="spellEnd"/>
            <w:r>
              <w:t xml:space="preserve"> NT</w:t>
            </w:r>
          </w:p>
        </w:tc>
        <w:tc>
          <w:tcPr>
            <w:tcW w:w="6250" w:type="dxa"/>
          </w:tcPr>
          <w:p w14:paraId="1765A6FE" w14:textId="62D4C5D2" w:rsidR="006D5DCC" w:rsidRDefault="004434D1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Festivals in Dialogue</w:t>
            </w:r>
          </w:p>
        </w:tc>
        <w:tc>
          <w:tcPr>
            <w:tcW w:w="2551" w:type="dxa"/>
          </w:tcPr>
          <w:p w14:paraId="31C42E26" w14:textId="34046BF6" w:rsidR="006D5DCC" w:rsidRDefault="004434D1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4E2B3368" w14:textId="6B191FD8" w:rsidR="004434D1" w:rsidRDefault="00AF2841" w:rsidP="00443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$25,</w:t>
            </w:r>
            <w:r w:rsidR="004434D1">
              <w:t>000</w:t>
            </w:r>
          </w:p>
        </w:tc>
      </w:tr>
      <w:tr w:rsidR="006D5DCC" w14:paraId="32DC6F52" w14:textId="77777777" w:rsidTr="00443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01A5134" w14:textId="63130288" w:rsidR="006D5DCC" w:rsidRDefault="004434D1" w:rsidP="00C14090">
            <w:r>
              <w:t>Nightcliff Arts, Music and Culture</w:t>
            </w:r>
          </w:p>
        </w:tc>
        <w:tc>
          <w:tcPr>
            <w:tcW w:w="6250" w:type="dxa"/>
          </w:tcPr>
          <w:p w14:paraId="0CA9E54D" w14:textId="588A8F62" w:rsidR="006D5DCC" w:rsidRDefault="004434D1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Nightcliff Arts, Music &amp; Culture Standing Strong</w:t>
            </w:r>
          </w:p>
        </w:tc>
        <w:tc>
          <w:tcPr>
            <w:tcW w:w="2551" w:type="dxa"/>
          </w:tcPr>
          <w:p w14:paraId="6CCE714B" w14:textId="6F6ED122" w:rsidR="006D5DCC" w:rsidRDefault="004434D1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46DD4CE9" w14:textId="112C8443" w:rsidR="006D5DCC" w:rsidRDefault="00AF2841" w:rsidP="00443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$25,</w:t>
            </w:r>
            <w:r w:rsidR="004434D1">
              <w:t>000</w:t>
            </w:r>
          </w:p>
        </w:tc>
      </w:tr>
      <w:tr w:rsidR="006D5DCC" w14:paraId="599C1747" w14:textId="77777777" w:rsidTr="0044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DA76D1D" w14:textId="452BB3A7" w:rsidR="006D5DCC" w:rsidRDefault="004434D1" w:rsidP="00C14090">
            <w:r>
              <w:t>Darwin Fringe Festival Committee</w:t>
            </w:r>
          </w:p>
        </w:tc>
        <w:tc>
          <w:tcPr>
            <w:tcW w:w="6250" w:type="dxa"/>
          </w:tcPr>
          <w:p w14:paraId="2B11C096" w14:textId="64A46206" w:rsidR="006D5DCC" w:rsidRDefault="004434D1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Ticketing and Web Capacity Building</w:t>
            </w:r>
          </w:p>
        </w:tc>
        <w:tc>
          <w:tcPr>
            <w:tcW w:w="2551" w:type="dxa"/>
          </w:tcPr>
          <w:p w14:paraId="6316062B" w14:textId="0B58E3E4" w:rsidR="006D5DCC" w:rsidRDefault="004434D1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5EF78AFE" w14:textId="14FEF360" w:rsidR="006D5DCC" w:rsidRDefault="00AF2841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$20,</w:t>
            </w:r>
            <w:r w:rsidR="004434D1">
              <w:t>833</w:t>
            </w:r>
          </w:p>
        </w:tc>
      </w:tr>
    </w:tbl>
    <w:p w14:paraId="303127E2" w14:textId="5E91AE2A" w:rsidR="003D32C3" w:rsidRDefault="003D32C3" w:rsidP="003D32C3">
      <w:pPr>
        <w:pStyle w:val="Heading2"/>
      </w:pPr>
      <w:r>
        <w:t>Independent Producers &amp; Curators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Independent Producers and Curators Funding"/>
        <w:tblDescription w:val="This table includes the details of successful applicants for the Independed Producers and Curators funding."/>
      </w:tblPr>
      <w:tblGrid>
        <w:gridCol w:w="3810"/>
        <w:gridCol w:w="6250"/>
        <w:gridCol w:w="2551"/>
        <w:gridCol w:w="2629"/>
      </w:tblGrid>
      <w:tr w:rsidR="003D32C3" w14:paraId="599E05E2" w14:textId="77777777" w:rsidTr="003D3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259C33FB" w14:textId="04A7E672" w:rsidR="003D32C3" w:rsidRDefault="003D32C3" w:rsidP="003D32C3">
            <w:r>
              <w:t>Applicant</w:t>
            </w:r>
          </w:p>
        </w:tc>
        <w:tc>
          <w:tcPr>
            <w:tcW w:w="6250" w:type="dxa"/>
          </w:tcPr>
          <w:p w14:paraId="7482F3D4" w14:textId="7BB951C0" w:rsidR="003D32C3" w:rsidRDefault="003D32C3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1" w:type="dxa"/>
          </w:tcPr>
          <w:p w14:paraId="5ED10F70" w14:textId="76E7C6E0" w:rsidR="003D32C3" w:rsidRDefault="003D32C3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154A2C9B" w14:textId="1D6CFF77" w:rsidR="003D32C3" w:rsidRDefault="003D32C3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3D32C3" w14:paraId="49A70200" w14:textId="77777777" w:rsidTr="003D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E548532" w14:textId="1CD9CBE9" w:rsidR="003D32C3" w:rsidRDefault="003D32C3" w:rsidP="003D32C3">
            <w:proofErr w:type="spellStart"/>
            <w:r>
              <w:t>Foldback</w:t>
            </w:r>
            <w:proofErr w:type="spellEnd"/>
            <w:r>
              <w:t xml:space="preserve"> Magazine</w:t>
            </w:r>
          </w:p>
        </w:tc>
        <w:tc>
          <w:tcPr>
            <w:tcW w:w="6250" w:type="dxa"/>
          </w:tcPr>
          <w:p w14:paraId="2B869DB1" w14:textId="1E07FE8B" w:rsidR="003D32C3" w:rsidRDefault="003D32C3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Foldback</w:t>
            </w:r>
            <w:proofErr w:type="spellEnd"/>
            <w:r>
              <w:t xml:space="preserve"> Magazine Business Development</w:t>
            </w:r>
          </w:p>
        </w:tc>
        <w:tc>
          <w:tcPr>
            <w:tcW w:w="2551" w:type="dxa"/>
          </w:tcPr>
          <w:p w14:paraId="665C5090" w14:textId="29E7A698" w:rsidR="003D32C3" w:rsidRDefault="003D32C3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7E8B862A" w14:textId="6C4E79A8" w:rsidR="003D32C3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$25,</w:t>
            </w:r>
            <w:r w:rsidR="003D32C3">
              <w:t>000</w:t>
            </w:r>
          </w:p>
        </w:tc>
      </w:tr>
      <w:tr w:rsidR="003D32C3" w14:paraId="748511D1" w14:textId="77777777" w:rsidTr="003D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2704A6DF" w14:textId="5DFD0C4A" w:rsidR="003D32C3" w:rsidRDefault="005C38E3" w:rsidP="003D32C3">
            <w:r>
              <w:t xml:space="preserve">Adriana Dent </w:t>
            </w:r>
          </w:p>
        </w:tc>
        <w:tc>
          <w:tcPr>
            <w:tcW w:w="6250" w:type="dxa"/>
          </w:tcPr>
          <w:p w14:paraId="78828FED" w14:textId="719BA187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Couture Culture</w:t>
            </w:r>
          </w:p>
        </w:tc>
        <w:tc>
          <w:tcPr>
            <w:tcW w:w="2551" w:type="dxa"/>
          </w:tcPr>
          <w:p w14:paraId="43D86BE9" w14:textId="3C31EB27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Howard Springs</w:t>
            </w:r>
          </w:p>
        </w:tc>
        <w:tc>
          <w:tcPr>
            <w:tcW w:w="2629" w:type="dxa"/>
          </w:tcPr>
          <w:p w14:paraId="60B0AA60" w14:textId="0364B714" w:rsidR="003D32C3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$9,</w:t>
            </w:r>
            <w:r w:rsidR="00E9109B">
              <w:t>000</w:t>
            </w:r>
          </w:p>
        </w:tc>
      </w:tr>
      <w:tr w:rsidR="003D32C3" w14:paraId="20151DC5" w14:textId="77777777" w:rsidTr="003D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009832D" w14:textId="792B3EDE" w:rsidR="003D32C3" w:rsidRDefault="00E9109B" w:rsidP="003D32C3">
            <w:r>
              <w:t>Kelly-lee Hickey</w:t>
            </w:r>
          </w:p>
        </w:tc>
        <w:tc>
          <w:tcPr>
            <w:tcW w:w="6250" w:type="dxa"/>
          </w:tcPr>
          <w:p w14:paraId="77FA1FC0" w14:textId="64AEA405" w:rsidR="003D32C3" w:rsidRDefault="00E9109B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Brand and Identity Development</w:t>
            </w:r>
          </w:p>
        </w:tc>
        <w:tc>
          <w:tcPr>
            <w:tcW w:w="2551" w:type="dxa"/>
          </w:tcPr>
          <w:p w14:paraId="51A0F0C0" w14:textId="5242ED0A" w:rsidR="003D32C3" w:rsidRDefault="00E9109B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2640D416" w14:textId="7FF807DF" w:rsidR="003D32C3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$7,</w:t>
            </w:r>
            <w:r w:rsidR="00E9109B">
              <w:t>741</w:t>
            </w:r>
          </w:p>
        </w:tc>
      </w:tr>
      <w:tr w:rsidR="003D32C3" w14:paraId="17220743" w14:textId="77777777" w:rsidTr="003D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523D6DF" w14:textId="0396D7BB" w:rsidR="003D32C3" w:rsidRDefault="00E9109B" w:rsidP="003D32C3">
            <w:r>
              <w:t>Joel Mitchell</w:t>
            </w:r>
          </w:p>
        </w:tc>
        <w:tc>
          <w:tcPr>
            <w:tcW w:w="6250" w:type="dxa"/>
          </w:tcPr>
          <w:p w14:paraId="2AF70DB8" w14:textId="3536FB0F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Marketing and Promotion</w:t>
            </w:r>
          </w:p>
        </w:tc>
        <w:tc>
          <w:tcPr>
            <w:tcW w:w="2551" w:type="dxa"/>
          </w:tcPr>
          <w:p w14:paraId="62D6041D" w14:textId="16A3C5B3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4768B62F" w14:textId="78B68D8A" w:rsidR="003D32C3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$3,</w:t>
            </w:r>
            <w:r w:rsidR="00E9109B">
              <w:t>522</w:t>
            </w:r>
          </w:p>
        </w:tc>
      </w:tr>
      <w:tr w:rsidR="003D32C3" w14:paraId="0E33A84A" w14:textId="77777777" w:rsidTr="003D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F7D552F" w14:textId="31CB6D8F" w:rsidR="003D32C3" w:rsidRDefault="00E9109B" w:rsidP="003D32C3">
            <w:r>
              <w:t>Britt Guy</w:t>
            </w:r>
          </w:p>
        </w:tc>
        <w:tc>
          <w:tcPr>
            <w:tcW w:w="6250" w:type="dxa"/>
          </w:tcPr>
          <w:p w14:paraId="56399642" w14:textId="4A60A611" w:rsidR="003D32C3" w:rsidRDefault="00E9109B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ACCOMPLICE Online Strategy</w:t>
            </w:r>
          </w:p>
        </w:tc>
        <w:tc>
          <w:tcPr>
            <w:tcW w:w="2551" w:type="dxa"/>
          </w:tcPr>
          <w:p w14:paraId="7A4645ED" w14:textId="70F19008" w:rsidR="003D32C3" w:rsidRDefault="00E9109B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74F5A123" w14:textId="7EF8FB52" w:rsidR="003D32C3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$25,</w:t>
            </w:r>
            <w:r w:rsidR="00E9109B">
              <w:t>000</w:t>
            </w:r>
          </w:p>
        </w:tc>
      </w:tr>
      <w:tr w:rsidR="003D32C3" w14:paraId="53F3DF98" w14:textId="77777777" w:rsidTr="003D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ECBDA00" w14:textId="1C3E7AA9" w:rsidR="003D32C3" w:rsidRDefault="00E9109B" w:rsidP="003D32C3">
            <w:r>
              <w:t>Caddie Brain</w:t>
            </w:r>
          </w:p>
        </w:tc>
        <w:tc>
          <w:tcPr>
            <w:tcW w:w="6250" w:type="dxa"/>
          </w:tcPr>
          <w:p w14:paraId="1D7717E8" w14:textId="1D9B4757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Curatorial and Business Development</w:t>
            </w:r>
          </w:p>
        </w:tc>
        <w:tc>
          <w:tcPr>
            <w:tcW w:w="2551" w:type="dxa"/>
          </w:tcPr>
          <w:p w14:paraId="7CDCD3F4" w14:textId="24E243FD" w:rsidR="003D32C3" w:rsidRDefault="00E9109B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3EBC2C14" w14:textId="7850351E" w:rsidR="003D32C3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$17,</w:t>
            </w:r>
            <w:r w:rsidR="00E9109B">
              <w:t>472</w:t>
            </w:r>
          </w:p>
        </w:tc>
      </w:tr>
      <w:tr w:rsidR="00E9109B" w14:paraId="2A85C24E" w14:textId="77777777" w:rsidTr="003D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6D6F777" w14:textId="4B170F84" w:rsidR="00E9109B" w:rsidRDefault="006675CA" w:rsidP="003D32C3">
            <w:r>
              <w:t>Glenn Morrison</w:t>
            </w:r>
          </w:p>
        </w:tc>
        <w:tc>
          <w:tcPr>
            <w:tcW w:w="6250" w:type="dxa"/>
          </w:tcPr>
          <w:p w14:paraId="4FE04834" w14:textId="1DAB6A8F" w:rsidR="00E9109B" w:rsidRDefault="006675CA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Borderlands – NT Literary Journal Phase 1: Strategic</w:t>
            </w:r>
          </w:p>
        </w:tc>
        <w:tc>
          <w:tcPr>
            <w:tcW w:w="2551" w:type="dxa"/>
          </w:tcPr>
          <w:p w14:paraId="6A3EC0AA" w14:textId="3A4D555E" w:rsidR="00E9109B" w:rsidRDefault="006675CA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0472286E" w14:textId="321A7BF1" w:rsidR="00E9109B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$22,</w:t>
            </w:r>
            <w:r w:rsidR="006675CA">
              <w:t>200</w:t>
            </w:r>
          </w:p>
        </w:tc>
      </w:tr>
    </w:tbl>
    <w:p w14:paraId="15D367C3" w14:textId="09659CE8" w:rsidR="003D32C3" w:rsidRDefault="003D32C3" w:rsidP="003D32C3"/>
    <w:p w14:paraId="1A411BF8" w14:textId="7F8F41C6" w:rsidR="00956BC0" w:rsidRDefault="00956BC0" w:rsidP="00956BC0">
      <w:pPr>
        <w:pStyle w:val="Heading2"/>
      </w:pPr>
      <w:r>
        <w:t>Access for Artists with Disabilities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Access for Artists with Disabilities Funding"/>
        <w:tblDescription w:val="This table includes details of the successful applicants for the Access for Artists with Disabilities funding."/>
      </w:tblPr>
      <w:tblGrid>
        <w:gridCol w:w="3810"/>
        <w:gridCol w:w="6250"/>
        <w:gridCol w:w="2551"/>
        <w:gridCol w:w="2629"/>
      </w:tblGrid>
      <w:tr w:rsidR="00956BC0" w14:paraId="189ECB0E" w14:textId="77777777" w:rsidTr="00C60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6B281792" w14:textId="1ED23E41" w:rsidR="00956BC0" w:rsidRDefault="00956BC0" w:rsidP="003D32C3">
            <w:r>
              <w:t>Applicant</w:t>
            </w:r>
          </w:p>
        </w:tc>
        <w:tc>
          <w:tcPr>
            <w:tcW w:w="6250" w:type="dxa"/>
          </w:tcPr>
          <w:p w14:paraId="7C1D338C" w14:textId="512D7C18" w:rsidR="00956BC0" w:rsidRDefault="00956BC0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1" w:type="dxa"/>
          </w:tcPr>
          <w:p w14:paraId="074F7747" w14:textId="3AC1539F" w:rsidR="00956BC0" w:rsidRDefault="00956BC0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0E9F842F" w14:textId="105908AD" w:rsidR="00956BC0" w:rsidRDefault="00956BC0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956BC0" w14:paraId="56DC43F2" w14:textId="77777777" w:rsidTr="00C6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1EE0929B" w14:textId="79881785" w:rsidR="00956BC0" w:rsidRDefault="00C60D4D" w:rsidP="003D32C3">
            <w:r>
              <w:t>Arts Access Darwin</w:t>
            </w:r>
          </w:p>
        </w:tc>
        <w:tc>
          <w:tcPr>
            <w:tcW w:w="6250" w:type="dxa"/>
          </w:tcPr>
          <w:p w14:paraId="286518D4" w14:textId="68A88CF1" w:rsidR="00956BC0" w:rsidRDefault="00FE1FCC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</w:t>
            </w:r>
            <w:r w:rsidR="00C60D4D">
              <w:t xml:space="preserve"> in Meeting Place 2018</w:t>
            </w:r>
          </w:p>
        </w:tc>
        <w:tc>
          <w:tcPr>
            <w:tcW w:w="2551" w:type="dxa"/>
          </w:tcPr>
          <w:p w14:paraId="497652A9" w14:textId="763A4E2E" w:rsidR="00956BC0" w:rsidRDefault="00C60D4D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5B4DE879" w14:textId="1B43AC6B" w:rsidR="00956BC0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$25,</w:t>
            </w:r>
            <w:r w:rsidR="00C60D4D">
              <w:t>000</w:t>
            </w:r>
          </w:p>
        </w:tc>
      </w:tr>
      <w:tr w:rsidR="00956BC0" w14:paraId="7A850EAC" w14:textId="77777777" w:rsidTr="00C60D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B277A85" w14:textId="20799647" w:rsidR="00956BC0" w:rsidRDefault="00C60D4D" w:rsidP="003D32C3">
            <w:proofErr w:type="spellStart"/>
            <w:r>
              <w:t>stArts</w:t>
            </w:r>
            <w:proofErr w:type="spellEnd"/>
            <w:r>
              <w:t xml:space="preserve"> with D Performance Ensemble</w:t>
            </w:r>
          </w:p>
        </w:tc>
        <w:tc>
          <w:tcPr>
            <w:tcW w:w="6250" w:type="dxa"/>
          </w:tcPr>
          <w:p w14:paraId="149437D4" w14:textId="6E69AB5E" w:rsidR="00956BC0" w:rsidRDefault="00C60D4D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Connect2Culture</w:t>
            </w:r>
          </w:p>
        </w:tc>
        <w:tc>
          <w:tcPr>
            <w:tcW w:w="2551" w:type="dxa"/>
          </w:tcPr>
          <w:p w14:paraId="152E8EFE" w14:textId="011B929A" w:rsidR="00956BC0" w:rsidRDefault="00C60D4D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36306AFC" w14:textId="4A2FA61F" w:rsidR="00956BC0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$21,</w:t>
            </w:r>
            <w:r w:rsidR="00C60D4D">
              <w:t>650</w:t>
            </w:r>
          </w:p>
        </w:tc>
      </w:tr>
      <w:tr w:rsidR="00956BC0" w14:paraId="7828BFB8" w14:textId="77777777" w:rsidTr="00C6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D90E77A" w14:textId="2993D2A4" w:rsidR="00956BC0" w:rsidRDefault="00C60D4D" w:rsidP="003D32C3">
            <w:r>
              <w:t>Casa</w:t>
            </w:r>
            <w:r w:rsidR="00FE1FCC">
              <w:t xml:space="preserve"> Central Australia</w:t>
            </w:r>
          </w:p>
        </w:tc>
        <w:tc>
          <w:tcPr>
            <w:tcW w:w="6250" w:type="dxa"/>
          </w:tcPr>
          <w:p w14:paraId="1B0D0B10" w14:textId="10127D2F" w:rsidR="00956BC0" w:rsidRDefault="00FE1FCC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Voices</w:t>
            </w:r>
          </w:p>
        </w:tc>
        <w:tc>
          <w:tcPr>
            <w:tcW w:w="2551" w:type="dxa"/>
          </w:tcPr>
          <w:p w14:paraId="5E6E3330" w14:textId="72E11BEF" w:rsidR="00956BC0" w:rsidRDefault="00FE1FCC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Alice Springs </w:t>
            </w:r>
          </w:p>
        </w:tc>
        <w:tc>
          <w:tcPr>
            <w:tcW w:w="2629" w:type="dxa"/>
          </w:tcPr>
          <w:p w14:paraId="44AE9220" w14:textId="47F5A420" w:rsidR="00956BC0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$13,</w:t>
            </w:r>
            <w:r w:rsidR="00FE1FCC">
              <w:t>385</w:t>
            </w:r>
          </w:p>
        </w:tc>
      </w:tr>
      <w:tr w:rsidR="00956BC0" w14:paraId="57C490E3" w14:textId="77777777" w:rsidTr="00C60D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E4FFDD7" w14:textId="1E1CEACE" w:rsidR="00956BC0" w:rsidRDefault="00FE1FCC" w:rsidP="003D32C3">
            <w:r>
              <w:t>Step Out Community Access Services</w:t>
            </w:r>
          </w:p>
        </w:tc>
        <w:tc>
          <w:tcPr>
            <w:tcW w:w="6250" w:type="dxa"/>
          </w:tcPr>
          <w:p w14:paraId="6DC9EEA7" w14:textId="66AE9EBD" w:rsidR="00956BC0" w:rsidRDefault="00FE1FCC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Access Arts in Katherine</w:t>
            </w:r>
          </w:p>
        </w:tc>
        <w:tc>
          <w:tcPr>
            <w:tcW w:w="2551" w:type="dxa"/>
          </w:tcPr>
          <w:p w14:paraId="76D57CCB" w14:textId="14CC1E11" w:rsidR="00956BC0" w:rsidRDefault="00FE1FCC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Katherine</w:t>
            </w:r>
          </w:p>
        </w:tc>
        <w:tc>
          <w:tcPr>
            <w:tcW w:w="2629" w:type="dxa"/>
          </w:tcPr>
          <w:p w14:paraId="772168F6" w14:textId="77600111" w:rsidR="00956BC0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$24,</w:t>
            </w:r>
            <w:r w:rsidR="00FE1FCC">
              <w:t>574</w:t>
            </w:r>
          </w:p>
        </w:tc>
      </w:tr>
      <w:tr w:rsidR="00FE1FCC" w14:paraId="22C700F4" w14:textId="77777777" w:rsidTr="00C60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F6BAEDC" w14:textId="014A052A" w:rsidR="00FE1FCC" w:rsidRDefault="00FE1FCC" w:rsidP="003D32C3">
            <w:r>
              <w:t>Central Australian Territory Craft</w:t>
            </w:r>
          </w:p>
        </w:tc>
        <w:tc>
          <w:tcPr>
            <w:tcW w:w="6250" w:type="dxa"/>
          </w:tcPr>
          <w:p w14:paraId="41201BEB" w14:textId="569445A2" w:rsidR="00FE1FCC" w:rsidRDefault="00FE1FCC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Partnerships in Craft</w:t>
            </w:r>
          </w:p>
        </w:tc>
        <w:tc>
          <w:tcPr>
            <w:tcW w:w="2551" w:type="dxa"/>
          </w:tcPr>
          <w:p w14:paraId="07DBD2BA" w14:textId="7D628A52" w:rsidR="00FE1FCC" w:rsidRDefault="00FE1FCC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172FE092" w14:textId="166778F4" w:rsidR="00FE1FCC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$17,</w:t>
            </w:r>
            <w:r w:rsidR="00FE1FCC">
              <w:t>710</w:t>
            </w:r>
          </w:p>
        </w:tc>
      </w:tr>
      <w:tr w:rsidR="00FE1FCC" w14:paraId="16898F75" w14:textId="77777777" w:rsidTr="00C60D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491E07E5" w14:textId="555BAA8B" w:rsidR="00FE1FCC" w:rsidRDefault="00FE1FCC" w:rsidP="003D32C3">
            <w:r>
              <w:t>Gillian Hunter</w:t>
            </w:r>
          </w:p>
        </w:tc>
        <w:tc>
          <w:tcPr>
            <w:tcW w:w="6250" w:type="dxa"/>
          </w:tcPr>
          <w:p w14:paraId="2021BE0D" w14:textId="7F780421" w:rsidR="00FE1FCC" w:rsidRDefault="00FE1FCC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Smoke and Mirrors</w:t>
            </w:r>
          </w:p>
        </w:tc>
        <w:tc>
          <w:tcPr>
            <w:tcW w:w="2551" w:type="dxa"/>
          </w:tcPr>
          <w:p w14:paraId="4984B4BD" w14:textId="0F8BC227" w:rsidR="00FE1FCC" w:rsidRDefault="00FE1FCC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Batchelor</w:t>
            </w:r>
          </w:p>
        </w:tc>
        <w:tc>
          <w:tcPr>
            <w:tcW w:w="2629" w:type="dxa"/>
          </w:tcPr>
          <w:p w14:paraId="0316A376" w14:textId="6798F16E" w:rsidR="00FE1FCC" w:rsidRDefault="00AF2841" w:rsidP="003D32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$16,</w:t>
            </w:r>
            <w:r w:rsidR="00FE1FCC">
              <w:t>913</w:t>
            </w:r>
          </w:p>
        </w:tc>
      </w:tr>
    </w:tbl>
    <w:p w14:paraId="35DB50DA" w14:textId="06DA01B1" w:rsidR="00956BC0" w:rsidRDefault="00FE1FCC" w:rsidP="00FE1FCC">
      <w:pPr>
        <w:pStyle w:val="Heading2"/>
      </w:pPr>
      <w:r>
        <w:t>Arts Industry Development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Arts Industry Development Funding"/>
        <w:tblDescription w:val="This table includes details of the successful applicants for the Arts Industry Development funding."/>
      </w:tblPr>
      <w:tblGrid>
        <w:gridCol w:w="3810"/>
        <w:gridCol w:w="6250"/>
        <w:gridCol w:w="2551"/>
        <w:gridCol w:w="2629"/>
      </w:tblGrid>
      <w:tr w:rsidR="00FE1FCC" w14:paraId="377832D5" w14:textId="77777777" w:rsidTr="00FC6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6879A407" w14:textId="717E3B49" w:rsidR="00FE1FCC" w:rsidRDefault="00FE1FCC" w:rsidP="003D32C3">
            <w:r>
              <w:t>Applicant</w:t>
            </w:r>
          </w:p>
        </w:tc>
        <w:tc>
          <w:tcPr>
            <w:tcW w:w="6250" w:type="dxa"/>
          </w:tcPr>
          <w:p w14:paraId="1D969343" w14:textId="019FCF46" w:rsidR="00FE1FCC" w:rsidRDefault="00FE1FCC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551" w:type="dxa"/>
          </w:tcPr>
          <w:p w14:paraId="349C2857" w14:textId="3DBE9AA3" w:rsidR="00FE1FCC" w:rsidRDefault="00FE1FCC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65C45184" w14:textId="64474882" w:rsidR="00FE1FCC" w:rsidRDefault="00FE1FCC" w:rsidP="003D32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FE1FCC" w14:paraId="457462D5" w14:textId="77777777" w:rsidTr="00FC6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44DE838" w14:textId="3435C316" w:rsidR="00FE1FCC" w:rsidRDefault="00FC64EF" w:rsidP="003D32C3">
            <w:r>
              <w:t>Tracks Dance Company</w:t>
            </w:r>
          </w:p>
        </w:tc>
        <w:tc>
          <w:tcPr>
            <w:tcW w:w="6250" w:type="dxa"/>
          </w:tcPr>
          <w:p w14:paraId="1BD2A9C7" w14:textId="7C3A6947" w:rsidR="00FE1FCC" w:rsidRDefault="00FC64EF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Dance Forum (NDF) and Australian Dance Awards (AWA) Darwin 2019</w:t>
            </w:r>
          </w:p>
        </w:tc>
        <w:tc>
          <w:tcPr>
            <w:tcW w:w="2551" w:type="dxa"/>
          </w:tcPr>
          <w:p w14:paraId="7BC7ED50" w14:textId="37FC9532" w:rsidR="00FE1FCC" w:rsidRDefault="00FC64EF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3FE814D7" w14:textId="2282C5B9" w:rsidR="00FE1FCC" w:rsidRDefault="00AF2841" w:rsidP="003D3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$100,</w:t>
            </w:r>
            <w:r w:rsidR="00FC64EF">
              <w:t>000</w:t>
            </w:r>
          </w:p>
        </w:tc>
      </w:tr>
    </w:tbl>
    <w:p w14:paraId="747FA7B5" w14:textId="77777777" w:rsidR="00FE1FCC" w:rsidRPr="003D32C3" w:rsidRDefault="00FE1FCC" w:rsidP="00FC64EF"/>
    <w:sectPr w:rsidR="00FE1FCC" w:rsidRPr="003D32C3" w:rsidSect="00C14090"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8C6CF" w14:textId="77777777" w:rsidR="00FE73FF" w:rsidRDefault="00FE73FF" w:rsidP="007332FF">
      <w:r>
        <w:separator/>
      </w:r>
    </w:p>
  </w:endnote>
  <w:endnote w:type="continuationSeparator" w:id="0">
    <w:p w14:paraId="5F1D5210" w14:textId="77777777" w:rsidR="00FE73FF" w:rsidRDefault="00FE73F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0B7B6" w14:textId="77777777" w:rsidR="002963B0" w:rsidRDefault="002963B0" w:rsidP="002963B0">
    <w:pPr>
      <w:tabs>
        <w:tab w:val="left" w:pos="2505"/>
      </w:tabs>
      <w:spacing w:after="0"/>
    </w:pPr>
    <w:r>
      <w:tab/>
    </w: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2963B0" w:rsidRPr="00132658" w14:paraId="7314BCEB" w14:textId="77777777" w:rsidTr="002963B0">
      <w:trPr>
        <w:cantSplit/>
        <w:trHeight w:hRule="exact" w:val="1134"/>
      </w:trPr>
      <w:tc>
        <w:tcPr>
          <w:tcW w:w="7767" w:type="dxa"/>
          <w:vAlign w:val="bottom"/>
        </w:tcPr>
        <w:p w14:paraId="2FD68266" w14:textId="77777777" w:rsidR="002963B0" w:rsidRDefault="002963B0" w:rsidP="002963B0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828947669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53554883" w14:textId="77777777" w:rsidR="002963B0" w:rsidRPr="00CE6614" w:rsidRDefault="00FE73FF" w:rsidP="002963B0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698614024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963B0">
                <w:rPr>
                  <w:rStyle w:val="PageNumber"/>
                </w:rPr>
                <w:t>3 October 2019</w:t>
              </w:r>
            </w:sdtContent>
          </w:sdt>
        </w:p>
        <w:p w14:paraId="09CBB20B" w14:textId="4EE362DB" w:rsidR="002963B0" w:rsidRPr="00CE30CF" w:rsidRDefault="002963B0" w:rsidP="002963B0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8220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8220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667A0B6A" w14:textId="77777777" w:rsidR="002963B0" w:rsidRPr="001E14EB" w:rsidRDefault="002963B0" w:rsidP="002963B0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DA07449" wp14:editId="0F9A0A89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08F0B51" w14:textId="2664EB39" w:rsidR="00983000" w:rsidRDefault="00983000" w:rsidP="002963B0">
    <w:pPr>
      <w:tabs>
        <w:tab w:val="left" w:pos="2505"/>
      </w:tabs>
      <w:spacing w:after="0"/>
    </w:pPr>
  </w:p>
  <w:p w14:paraId="7236EEFB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B8DA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AC2E0D0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B6D456F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1668D"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4A0D7CAE" w14:textId="692BC4EE" w:rsidR="00D47DC7" w:rsidRPr="00CE6614" w:rsidRDefault="00FE73F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1668D">
                <w:rPr>
                  <w:rStyle w:val="PageNumber"/>
                </w:rPr>
                <w:t>3 October 2019</w:t>
              </w:r>
            </w:sdtContent>
          </w:sdt>
        </w:p>
        <w:p w14:paraId="0274F263" w14:textId="771D07B4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8220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82205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B8364E7" w14:textId="2D86CF51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A0366E2" wp14:editId="0F8EA0C8">
                <wp:extent cx="1572479" cy="561600"/>
                <wp:effectExtent l="0" t="0" r="8890" b="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13775D1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28AE" w14:textId="77777777" w:rsidR="00FE73FF" w:rsidRDefault="00FE73FF" w:rsidP="007332FF">
      <w:r>
        <w:separator/>
      </w:r>
    </w:p>
  </w:footnote>
  <w:footnote w:type="continuationSeparator" w:id="0">
    <w:p w14:paraId="05EF34D8" w14:textId="77777777" w:rsidR="00FE73FF" w:rsidRDefault="00FE73F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DAE2" w14:textId="5BE1AA72" w:rsidR="00983000" w:rsidRPr="00162207" w:rsidRDefault="00FE73F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6BC0">
          <w:t>2017-18 Strategic Arts Program Successful Grant Recipients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491FD744" w14:textId="590B5F6E" w:rsidR="00E54F9E" w:rsidRDefault="00F157C1" w:rsidP="00435082">
        <w:pPr>
          <w:pStyle w:val="Title"/>
          <w:rPr>
            <w:rStyle w:val="TitleChar"/>
          </w:rPr>
        </w:pPr>
        <w:r>
          <w:rPr>
            <w:rStyle w:val="TitleChar"/>
          </w:rPr>
          <w:t>2017-18 Strategic Arts</w:t>
        </w:r>
        <w:r w:rsidR="008D1343">
          <w:rPr>
            <w:rStyle w:val="TitleChar"/>
          </w:rPr>
          <w:t xml:space="preserve"> Program</w:t>
        </w:r>
        <w:r w:rsidR="00956BC0">
          <w:rPr>
            <w:rStyle w:val="TitleChar"/>
          </w:rPr>
          <w:t xml:space="preserve"> </w:t>
        </w:r>
        <w:r w:rsidR="008D1343">
          <w:rPr>
            <w:rStyle w:val="TitleChar"/>
          </w:rPr>
          <w:t>Successful Grant Recipients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CFB6678"/>
    <w:multiLevelType w:val="hybridMultilevel"/>
    <w:tmpl w:val="AC52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1"/>
  </w:num>
  <w:num w:numId="3">
    <w:abstractNumId w:val="73"/>
  </w:num>
  <w:num w:numId="4">
    <w:abstractNumId w:val="45"/>
  </w:num>
  <w:num w:numId="5">
    <w:abstractNumId w:val="28"/>
  </w:num>
  <w:num w:numId="6">
    <w:abstractNumId w:val="15"/>
  </w:num>
  <w:num w:numId="7">
    <w:abstractNumId w:val="50"/>
  </w:num>
  <w:num w:numId="8">
    <w:abstractNumId w:val="24"/>
  </w:num>
  <w:num w:numId="9">
    <w:abstractNumId w:val="57"/>
  </w:num>
  <w:num w:numId="10">
    <w:abstractNumId w:val="20"/>
  </w:num>
  <w:num w:numId="11">
    <w:abstractNumId w:val="63"/>
  </w:num>
  <w:num w:numId="12">
    <w:abstractNumId w:val="17"/>
  </w:num>
  <w:num w:numId="13">
    <w:abstractNumId w:val="1"/>
  </w:num>
  <w:num w:numId="14">
    <w:abstractNumId w:val="61"/>
  </w:num>
  <w:num w:numId="15">
    <w:abstractNumId w:val="26"/>
  </w:num>
  <w:num w:numId="16">
    <w:abstractNumId w:val="62"/>
  </w:num>
  <w:num w:numId="17">
    <w:abstractNumId w:val="71"/>
  </w:num>
  <w:num w:numId="18">
    <w:abstractNumId w:val="56"/>
  </w:num>
  <w:num w:numId="19">
    <w:abstractNumId w:val="48"/>
  </w:num>
  <w:num w:numId="20">
    <w:abstractNumId w:val="52"/>
  </w:num>
  <w:num w:numId="21">
    <w:abstractNumId w:val="39"/>
  </w:num>
  <w:num w:numId="22">
    <w:abstractNumId w:val="55"/>
  </w:num>
  <w:num w:numId="23">
    <w:abstractNumId w:val="47"/>
  </w:num>
  <w:num w:numId="24">
    <w:abstractNumId w:val="42"/>
  </w:num>
  <w:num w:numId="25">
    <w:abstractNumId w:val="37"/>
  </w:num>
  <w:num w:numId="26">
    <w:abstractNumId w:val="10"/>
  </w:num>
  <w:num w:numId="27">
    <w:abstractNumId w:val="72"/>
  </w:num>
  <w:num w:numId="28">
    <w:abstractNumId w:val="36"/>
  </w:num>
  <w:num w:numId="29">
    <w:abstractNumId w:val="29"/>
  </w:num>
  <w:num w:numId="30">
    <w:abstractNumId w:val="0"/>
  </w:num>
  <w:num w:numId="31">
    <w:abstractNumId w:val="41"/>
  </w:num>
  <w:num w:numId="32">
    <w:abstractNumId w:val="9"/>
  </w:num>
  <w:num w:numId="33">
    <w:abstractNumId w:val="64"/>
  </w:num>
  <w:num w:numId="34">
    <w:abstractNumId w:val="32"/>
  </w:num>
  <w:num w:numId="35">
    <w:abstractNumId w:val="49"/>
  </w:num>
  <w:num w:numId="36">
    <w:abstractNumId w:val="65"/>
  </w:num>
  <w:num w:numId="37">
    <w:abstractNumId w:val="67"/>
  </w:num>
  <w:num w:numId="38">
    <w:abstractNumId w:val="14"/>
  </w:num>
  <w:num w:numId="39">
    <w:abstractNumId w:val="25"/>
  </w:num>
  <w:num w:numId="40">
    <w:abstractNumId w:val="68"/>
  </w:num>
  <w:num w:numId="41">
    <w:abstractNumId w:val="2"/>
  </w:num>
  <w:num w:numId="42">
    <w:abstractNumId w:val="60"/>
  </w:num>
  <w:num w:numId="43">
    <w:abstractNumId w:val="11"/>
  </w:num>
  <w:num w:numId="44">
    <w:abstractNumId w:val="35"/>
  </w:num>
  <w:num w:numId="45">
    <w:abstractNumId w:val="4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0"/>
  </w:num>
  <w:num w:numId="4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1B5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A06"/>
    <w:rsid w:val="00274D4B"/>
    <w:rsid w:val="002806F5"/>
    <w:rsid w:val="00281577"/>
    <w:rsid w:val="00287D73"/>
    <w:rsid w:val="002926BC"/>
    <w:rsid w:val="00293A72"/>
    <w:rsid w:val="002963B0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51D5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66973"/>
    <w:rsid w:val="00371312"/>
    <w:rsid w:val="00371DC7"/>
    <w:rsid w:val="00377B21"/>
    <w:rsid w:val="00382A7F"/>
    <w:rsid w:val="00390862"/>
    <w:rsid w:val="00390CE3"/>
    <w:rsid w:val="00391932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32C3"/>
    <w:rsid w:val="003D42C0"/>
    <w:rsid w:val="003D4A8F"/>
    <w:rsid w:val="003D5B29"/>
    <w:rsid w:val="003D7818"/>
    <w:rsid w:val="003E00D1"/>
    <w:rsid w:val="003E2445"/>
    <w:rsid w:val="003E3BB2"/>
    <w:rsid w:val="003E537F"/>
    <w:rsid w:val="003F5B58"/>
    <w:rsid w:val="0040222A"/>
    <w:rsid w:val="004047BC"/>
    <w:rsid w:val="004100F7"/>
    <w:rsid w:val="00414CB3"/>
    <w:rsid w:val="0041563D"/>
    <w:rsid w:val="0042460B"/>
    <w:rsid w:val="00426E25"/>
    <w:rsid w:val="00427D9C"/>
    <w:rsid w:val="00427E7E"/>
    <w:rsid w:val="0043465D"/>
    <w:rsid w:val="00435082"/>
    <w:rsid w:val="004434D1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ECC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35BF"/>
    <w:rsid w:val="004F016A"/>
    <w:rsid w:val="00500F94"/>
    <w:rsid w:val="00502FB3"/>
    <w:rsid w:val="00503DE9"/>
    <w:rsid w:val="00505001"/>
    <w:rsid w:val="0050530C"/>
    <w:rsid w:val="00505DEA"/>
    <w:rsid w:val="00507782"/>
    <w:rsid w:val="00512A04"/>
    <w:rsid w:val="00520499"/>
    <w:rsid w:val="005249F5"/>
    <w:rsid w:val="005260F7"/>
    <w:rsid w:val="005428D2"/>
    <w:rsid w:val="00543BD1"/>
    <w:rsid w:val="00545CF8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38E3"/>
    <w:rsid w:val="005E144D"/>
    <w:rsid w:val="005E1500"/>
    <w:rsid w:val="005E3A43"/>
    <w:rsid w:val="005F0B17"/>
    <w:rsid w:val="005F6602"/>
    <w:rsid w:val="005F77C7"/>
    <w:rsid w:val="00614FE8"/>
    <w:rsid w:val="00620675"/>
    <w:rsid w:val="00622910"/>
    <w:rsid w:val="006254B6"/>
    <w:rsid w:val="00627FC8"/>
    <w:rsid w:val="006433C3"/>
    <w:rsid w:val="00650F5B"/>
    <w:rsid w:val="006670D7"/>
    <w:rsid w:val="006675CA"/>
    <w:rsid w:val="006719EA"/>
    <w:rsid w:val="00671F13"/>
    <w:rsid w:val="0067400A"/>
    <w:rsid w:val="006847AD"/>
    <w:rsid w:val="0069114B"/>
    <w:rsid w:val="006944C1"/>
    <w:rsid w:val="006A756A"/>
    <w:rsid w:val="006C0EC2"/>
    <w:rsid w:val="006D5DCC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7A89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343"/>
    <w:rsid w:val="008D1B00"/>
    <w:rsid w:val="008D57B8"/>
    <w:rsid w:val="008D5C05"/>
    <w:rsid w:val="008E03FC"/>
    <w:rsid w:val="008E510B"/>
    <w:rsid w:val="00902B13"/>
    <w:rsid w:val="009032B0"/>
    <w:rsid w:val="00911941"/>
    <w:rsid w:val="0092024D"/>
    <w:rsid w:val="00925146"/>
    <w:rsid w:val="00925F0F"/>
    <w:rsid w:val="00932F6B"/>
    <w:rsid w:val="009444F0"/>
    <w:rsid w:val="009468BC"/>
    <w:rsid w:val="00947FAE"/>
    <w:rsid w:val="00954384"/>
    <w:rsid w:val="00956BC0"/>
    <w:rsid w:val="009616DF"/>
    <w:rsid w:val="00962193"/>
    <w:rsid w:val="0096542F"/>
    <w:rsid w:val="00967FA7"/>
    <w:rsid w:val="00971645"/>
    <w:rsid w:val="00977919"/>
    <w:rsid w:val="00983000"/>
    <w:rsid w:val="009870FA"/>
    <w:rsid w:val="009921C3"/>
    <w:rsid w:val="0099551D"/>
    <w:rsid w:val="009A0E6A"/>
    <w:rsid w:val="009A3197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087"/>
    <w:rsid w:val="00A3739D"/>
    <w:rsid w:val="00A37DDA"/>
    <w:rsid w:val="00A45005"/>
    <w:rsid w:val="00A53104"/>
    <w:rsid w:val="00A567EE"/>
    <w:rsid w:val="00A574D0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41"/>
    <w:rsid w:val="00AF28C1"/>
    <w:rsid w:val="00B02EF1"/>
    <w:rsid w:val="00B07C97"/>
    <w:rsid w:val="00B11C67"/>
    <w:rsid w:val="00B14257"/>
    <w:rsid w:val="00B15754"/>
    <w:rsid w:val="00B16002"/>
    <w:rsid w:val="00B1609A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623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4090"/>
    <w:rsid w:val="00C15D4D"/>
    <w:rsid w:val="00C175DC"/>
    <w:rsid w:val="00C30171"/>
    <w:rsid w:val="00C309D8"/>
    <w:rsid w:val="00C43519"/>
    <w:rsid w:val="00C45263"/>
    <w:rsid w:val="00C4618D"/>
    <w:rsid w:val="00C51537"/>
    <w:rsid w:val="00C52BC3"/>
    <w:rsid w:val="00C60D4D"/>
    <w:rsid w:val="00C61AFA"/>
    <w:rsid w:val="00C61D64"/>
    <w:rsid w:val="00C61EA9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1833"/>
    <w:rsid w:val="00CC571B"/>
    <w:rsid w:val="00CC61CD"/>
    <w:rsid w:val="00CC6C02"/>
    <w:rsid w:val="00CC737B"/>
    <w:rsid w:val="00CD5011"/>
    <w:rsid w:val="00CD74A6"/>
    <w:rsid w:val="00CE640F"/>
    <w:rsid w:val="00CE76BC"/>
    <w:rsid w:val="00CF540E"/>
    <w:rsid w:val="00D02F07"/>
    <w:rsid w:val="00D15D88"/>
    <w:rsid w:val="00D1668D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87736"/>
    <w:rsid w:val="00D90F00"/>
    <w:rsid w:val="00D96804"/>
    <w:rsid w:val="00D975C0"/>
    <w:rsid w:val="00DA5285"/>
    <w:rsid w:val="00DB191D"/>
    <w:rsid w:val="00DB4F91"/>
    <w:rsid w:val="00DB6D0A"/>
    <w:rsid w:val="00DC0543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4597C"/>
    <w:rsid w:val="00E54F9E"/>
    <w:rsid w:val="00E61BA2"/>
    <w:rsid w:val="00E63864"/>
    <w:rsid w:val="00E6403F"/>
    <w:rsid w:val="00E75451"/>
    <w:rsid w:val="00E75EA9"/>
    <w:rsid w:val="00E76AD6"/>
    <w:rsid w:val="00E770C4"/>
    <w:rsid w:val="00E82205"/>
    <w:rsid w:val="00E84C5A"/>
    <w:rsid w:val="00E861DB"/>
    <w:rsid w:val="00E908F1"/>
    <w:rsid w:val="00E9109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6297"/>
    <w:rsid w:val="00F157C1"/>
    <w:rsid w:val="00F30AE1"/>
    <w:rsid w:val="00F5696E"/>
    <w:rsid w:val="00F60EFF"/>
    <w:rsid w:val="00F65793"/>
    <w:rsid w:val="00F67D2D"/>
    <w:rsid w:val="00F858F2"/>
    <w:rsid w:val="00F860CC"/>
    <w:rsid w:val="00F94398"/>
    <w:rsid w:val="00FB2B56"/>
    <w:rsid w:val="00FB55D5"/>
    <w:rsid w:val="00FC12BF"/>
    <w:rsid w:val="00FC2C60"/>
    <w:rsid w:val="00FC64EF"/>
    <w:rsid w:val="00FD3E6F"/>
    <w:rsid w:val="00FD51B9"/>
    <w:rsid w:val="00FD5849"/>
    <w:rsid w:val="00FE03E4"/>
    <w:rsid w:val="00FE1FCC"/>
    <w:rsid w:val="00FE2A39"/>
    <w:rsid w:val="00FE73FF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AC05E"/>
  <w15:docId w15:val="{33F93738-A94E-4AED-8530-AB76E90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68D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68D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dtsc.nt.gov.au/news/bright-future-for-top-talent-in-the-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Funding</a:t>
            </a:r>
            <a:r>
              <a:rPr lang="en-US" sz="1200" baseline="0"/>
              <a:t> per category</a:t>
            </a:r>
            <a:endParaRPr lang="en-US" sz="1200"/>
          </a:p>
        </c:rich>
      </c:tx>
      <c:layout>
        <c:manualLayout>
          <c:xMode val="edge"/>
          <c:yMode val="edge"/>
          <c:x val="0.51761324428573074"/>
          <c:y val="6.7016834021860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803215455675729E-2"/>
          <c:y val="9.3456480266959158E-2"/>
          <c:w val="0.41150606343213464"/>
          <c:h val="0.83237710817237998"/>
        </c:manualLayout>
      </c:layout>
      <c:pieChart>
        <c:varyColors val="1"/>
        <c:ser>
          <c:idx val="0"/>
          <c:order val="0"/>
          <c:tx>
            <c:strRef>
              <c:f>'SAP 2017-18'!$B$4</c:f>
              <c:strCache>
                <c:ptCount val="1"/>
                <c:pt idx="0">
                  <c:v>Funding against categories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61D-4531-9839-E9E4F62E7B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61D-4531-9839-E9E4F62E7B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61D-4531-9839-E9E4F62E7B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61D-4531-9839-E9E4F62E7B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2017-18'!$A$5:$A$9</c:f>
              <c:strCache>
                <c:ptCount val="4"/>
                <c:pt idx="0">
                  <c:v>Independents</c:v>
                </c:pt>
                <c:pt idx="1">
                  <c:v>Arts Industry Development</c:v>
                </c:pt>
                <c:pt idx="2">
                  <c:v>Access for Artists with Disabilities</c:v>
                </c:pt>
                <c:pt idx="3">
                  <c:v>Community Festival Capacity Building</c:v>
                </c:pt>
              </c:strCache>
            </c:strRef>
          </c:cat>
          <c:val>
            <c:numRef>
              <c:f>'SAP 2017-18'!$B$5:$B$9</c:f>
              <c:numCache>
                <c:formatCode>"$"#,##0</c:formatCode>
                <c:ptCount val="4"/>
                <c:pt idx="0">
                  <c:v>109935</c:v>
                </c:pt>
                <c:pt idx="1">
                  <c:v>100000</c:v>
                </c:pt>
                <c:pt idx="2">
                  <c:v>119232</c:v>
                </c:pt>
                <c:pt idx="3">
                  <c:v>70833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1D-4531-9839-E9E4F62E7B8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346638690204449"/>
          <c:y val="0.23663340670445382"/>
          <c:w val="0.4211661113302167"/>
          <c:h val="0.64612604356073144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Applicant's place of residence</a:t>
            </a:r>
          </a:p>
        </c:rich>
      </c:tx>
      <c:layout>
        <c:manualLayout>
          <c:xMode val="edge"/>
          <c:yMode val="edge"/>
          <c:x val="0.48617654742919691"/>
          <c:y val="9.2858253295656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0002116081867544E-2"/>
          <c:y val="0.20412037037037037"/>
          <c:w val="0.40782501066907206"/>
          <c:h val="0.71699375909802476"/>
        </c:manualLayout>
      </c:layout>
      <c:pieChart>
        <c:varyColors val="1"/>
        <c:ser>
          <c:idx val="0"/>
          <c:order val="0"/>
          <c:tx>
            <c:strRef>
              <c:f>'SAP 2017-18'!$B$13</c:f>
              <c:strCache>
                <c:ptCount val="1"/>
                <c:pt idx="0">
                  <c:v>Applicant's Place of Residence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429-4D50-AFE5-D55F01D739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429-4D50-AFE5-D55F01D739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429-4D50-AFE5-D55F01D739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2017-18'!$A$14:$A$21</c:f>
              <c:strCache>
                <c:ptCount val="3"/>
                <c:pt idx="0">
                  <c:v>Darwin &amp; Darwin rural</c:v>
                </c:pt>
                <c:pt idx="1">
                  <c:v>Alice Springs</c:v>
                </c:pt>
                <c:pt idx="2">
                  <c:v>Katherine</c:v>
                </c:pt>
              </c:strCache>
            </c:strRef>
          </c:cat>
          <c:val>
            <c:numRef>
              <c:f>'SAP 2017-18'!$B$14:$B$21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29-4D50-AFE5-D55F01D7392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33592785267282"/>
          <c:y val="0.30057662406771485"/>
          <c:w val="0.36900218722659667"/>
          <c:h val="0.48624998960663179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9907633420822393"/>
          <c:y val="7.40740740740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80883639545072E-2"/>
          <c:y val="0.20821777486147564"/>
          <c:w val="0.43652734033245844"/>
          <c:h val="0.72754556722076402"/>
        </c:manualLayout>
      </c:layout>
      <c:pieChart>
        <c:varyColors val="1"/>
        <c:ser>
          <c:idx val="0"/>
          <c:order val="0"/>
          <c:tx>
            <c:strRef>
              <c:f>'SAP 2017-18'!$B$33</c:f>
              <c:strCache>
                <c:ptCount val="1"/>
                <c:pt idx="0">
                  <c:v>Funding per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8D5-4076-9256-647EF96CDD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8D5-4076-9256-647EF96CDD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8D5-4076-9256-647EF96CDD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2017-18'!$A$34:$A$36</c:f>
              <c:strCache>
                <c:ptCount val="3"/>
                <c:pt idx="0">
                  <c:v>Darwin &amp; Darwin rural</c:v>
                </c:pt>
                <c:pt idx="1">
                  <c:v>Alice Springs</c:v>
                </c:pt>
                <c:pt idx="2">
                  <c:v>Katherine</c:v>
                </c:pt>
              </c:strCache>
            </c:strRef>
          </c:cat>
          <c:val>
            <c:numRef>
              <c:f>'SAP 2017-18'!$B$34:$B$36</c:f>
              <c:numCache>
                <c:formatCode>"$"#,##0</c:formatCode>
                <c:ptCount val="3"/>
                <c:pt idx="0">
                  <c:v>275268</c:v>
                </c:pt>
                <c:pt idx="1">
                  <c:v>100158</c:v>
                </c:pt>
                <c:pt idx="2">
                  <c:v>24574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D5-4076-9256-647EF96CDD9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2882764654418"/>
          <c:y val="0.28298556430446192"/>
          <c:w val="0.37297900262467193"/>
          <c:h val="0.55535691235316886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313864-9A16-453D-A6AD-74FDB11C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1115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Strategic Arts Program Successful Grant Recipients</vt:lpstr>
    </vt:vector>
  </TitlesOfParts>
  <Company>Tourism, Sport and Culture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Strategic Arts Program Successful Grant Recipients</dc:title>
  <dc:creator>Northern Territory Government</dc:creator>
  <cp:lastModifiedBy>Natalie Wilson</cp:lastModifiedBy>
  <cp:revision>20</cp:revision>
  <cp:lastPrinted>2019-07-29T01:45:00Z</cp:lastPrinted>
  <dcterms:created xsi:type="dcterms:W3CDTF">2019-10-09T00:15:00Z</dcterms:created>
  <dcterms:modified xsi:type="dcterms:W3CDTF">2019-10-15T02:17:00Z</dcterms:modified>
</cp:coreProperties>
</file>