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1807" w14:textId="3A1E2D5F" w:rsidR="000C06E6" w:rsidRPr="00F025C8" w:rsidRDefault="008A6BA0">
      <w:pPr>
        <w:pStyle w:val="Heading1"/>
        <w:rPr>
          <w:rFonts w:ascii="Arial" w:hAnsi="Arial" w:cs="Arial"/>
        </w:rPr>
      </w:pPr>
      <w:r w:rsidRPr="00F025C8">
        <w:rPr>
          <w:rFonts w:ascii="Arial" w:hAnsi="Arial" w:cs="Arial"/>
        </w:rPr>
        <w:t xml:space="preserve">Ministerial Advisory Committee for the Arts (MACA) </w:t>
      </w:r>
      <w:r w:rsidR="00F025C8">
        <w:rPr>
          <w:rFonts w:ascii="Arial" w:hAnsi="Arial" w:cs="Arial"/>
        </w:rPr>
        <w:t xml:space="preserve">- </w:t>
      </w:r>
      <w:r w:rsidRPr="00F025C8">
        <w:rPr>
          <w:rFonts w:ascii="Arial" w:hAnsi="Arial" w:cs="Arial"/>
        </w:rPr>
        <w:t>EOI Assessment Rubric</w:t>
      </w:r>
    </w:p>
    <w:p w14:paraId="231BAAE6" w14:textId="77777777" w:rsidR="000C06E6" w:rsidRPr="00F025C8" w:rsidRDefault="008A6BA0">
      <w:pPr>
        <w:rPr>
          <w:rFonts w:ascii="Arial" w:hAnsi="Arial" w:cs="Arial"/>
        </w:rPr>
      </w:pPr>
      <w:r w:rsidRPr="00F025C8">
        <w:rPr>
          <w:rFonts w:ascii="Arial" w:hAnsi="Arial" w:cs="Arial"/>
        </w:rPr>
        <w:t>This rubric supports consistent, transparent assessment of Expressions of Interest (EOIs) for membership to the Ministerial Advisory Committee for the Arts (MACA). It aligns with the Committee’s Terms of Reference and the NT Arts Strategy 2034 principles (Empower, Connect, Enrich).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2076"/>
        <w:gridCol w:w="1953"/>
        <w:gridCol w:w="1924"/>
        <w:gridCol w:w="1985"/>
      </w:tblGrid>
      <w:tr w:rsidR="000C06E6" w:rsidRPr="00F025C8" w14:paraId="1B4E379B" w14:textId="77777777" w:rsidTr="00F025C8">
        <w:tc>
          <w:tcPr>
            <w:tcW w:w="2943" w:type="dxa"/>
          </w:tcPr>
          <w:p w14:paraId="7777F1AC" w14:textId="77777777" w:rsidR="000C06E6" w:rsidRPr="00F025C8" w:rsidRDefault="008A6BA0">
            <w:pPr>
              <w:rPr>
                <w:rFonts w:ascii="Arial" w:hAnsi="Arial" w:cs="Arial"/>
              </w:rPr>
            </w:pPr>
            <w:r w:rsidRPr="00F025C8">
              <w:rPr>
                <w:rFonts w:ascii="Arial" w:hAnsi="Arial" w:cs="Arial"/>
              </w:rPr>
              <w:t>Criterion</w:t>
            </w:r>
          </w:p>
        </w:tc>
        <w:tc>
          <w:tcPr>
            <w:tcW w:w="2552" w:type="dxa"/>
          </w:tcPr>
          <w:p w14:paraId="4F7F558F" w14:textId="77777777" w:rsidR="000C06E6" w:rsidRPr="00F025C8" w:rsidRDefault="008A6BA0">
            <w:pPr>
              <w:rPr>
                <w:rFonts w:ascii="Arial" w:hAnsi="Arial" w:cs="Arial"/>
              </w:rPr>
            </w:pPr>
            <w:r w:rsidRPr="00F025C8">
              <w:rPr>
                <w:rFonts w:ascii="Arial" w:hAnsi="Arial" w:cs="Arial"/>
              </w:rPr>
              <w:t>Descriptor</w:t>
            </w:r>
          </w:p>
        </w:tc>
        <w:tc>
          <w:tcPr>
            <w:tcW w:w="2076" w:type="dxa"/>
          </w:tcPr>
          <w:p w14:paraId="63023560" w14:textId="77777777" w:rsidR="000C06E6" w:rsidRPr="00F025C8" w:rsidRDefault="008A6BA0">
            <w:pPr>
              <w:rPr>
                <w:rFonts w:ascii="Arial" w:hAnsi="Arial" w:cs="Arial"/>
              </w:rPr>
            </w:pPr>
            <w:r w:rsidRPr="00F025C8">
              <w:rPr>
                <w:rFonts w:ascii="Arial" w:hAnsi="Arial" w:cs="Arial"/>
              </w:rPr>
              <w:t>Weighting</w:t>
            </w:r>
          </w:p>
        </w:tc>
        <w:tc>
          <w:tcPr>
            <w:tcW w:w="1953" w:type="dxa"/>
          </w:tcPr>
          <w:p w14:paraId="66C68953" w14:textId="77777777" w:rsidR="000C06E6" w:rsidRPr="00F025C8" w:rsidRDefault="008A6BA0">
            <w:pPr>
              <w:rPr>
                <w:rFonts w:ascii="Arial" w:hAnsi="Arial" w:cs="Arial"/>
              </w:rPr>
            </w:pPr>
            <w:r w:rsidRPr="00F025C8">
              <w:rPr>
                <w:rFonts w:ascii="Arial" w:hAnsi="Arial" w:cs="Arial"/>
              </w:rPr>
              <w:t>High (5)</w:t>
            </w:r>
          </w:p>
        </w:tc>
        <w:tc>
          <w:tcPr>
            <w:tcW w:w="1924" w:type="dxa"/>
          </w:tcPr>
          <w:p w14:paraId="698F331B" w14:textId="77777777" w:rsidR="000C06E6" w:rsidRPr="00F025C8" w:rsidRDefault="008A6BA0">
            <w:pPr>
              <w:rPr>
                <w:rFonts w:ascii="Arial" w:hAnsi="Arial" w:cs="Arial"/>
              </w:rPr>
            </w:pPr>
            <w:r w:rsidRPr="00F025C8">
              <w:rPr>
                <w:rFonts w:ascii="Arial" w:hAnsi="Arial" w:cs="Arial"/>
              </w:rPr>
              <w:t>Moderate (3)</w:t>
            </w:r>
          </w:p>
        </w:tc>
        <w:tc>
          <w:tcPr>
            <w:tcW w:w="1985" w:type="dxa"/>
          </w:tcPr>
          <w:p w14:paraId="35A8799C" w14:textId="77777777" w:rsidR="000C06E6" w:rsidRPr="00F025C8" w:rsidRDefault="008A6BA0">
            <w:pPr>
              <w:rPr>
                <w:rFonts w:ascii="Arial" w:hAnsi="Arial" w:cs="Arial"/>
              </w:rPr>
            </w:pPr>
            <w:r w:rsidRPr="00F025C8">
              <w:rPr>
                <w:rFonts w:ascii="Arial" w:hAnsi="Arial" w:cs="Arial"/>
              </w:rPr>
              <w:t>Emerging (1)</w:t>
            </w:r>
          </w:p>
        </w:tc>
      </w:tr>
      <w:tr w:rsidR="000C06E6" w:rsidRPr="00F025C8" w14:paraId="1F2073D9" w14:textId="77777777" w:rsidTr="00F025C8">
        <w:tc>
          <w:tcPr>
            <w:tcW w:w="2943" w:type="dxa"/>
          </w:tcPr>
          <w:p w14:paraId="22B7F84C" w14:textId="77777777" w:rsidR="000C06E6" w:rsidRPr="00F025C8" w:rsidRDefault="008A6BA0">
            <w:pPr>
              <w:rPr>
                <w:rFonts w:ascii="Arial" w:hAnsi="Arial" w:cs="Arial"/>
              </w:rPr>
            </w:pPr>
            <w:r w:rsidRPr="00F025C8">
              <w:rPr>
                <w:rFonts w:ascii="Arial" w:hAnsi="Arial" w:cs="Arial"/>
              </w:rPr>
              <w:t>Arts and Cultural Experience</w:t>
            </w:r>
          </w:p>
        </w:tc>
        <w:tc>
          <w:tcPr>
            <w:tcW w:w="2552" w:type="dxa"/>
          </w:tcPr>
          <w:p w14:paraId="06BD3DED" w14:textId="77777777" w:rsidR="000C06E6" w:rsidRPr="00F025C8" w:rsidRDefault="008A6BA0">
            <w:pPr>
              <w:rPr>
                <w:rFonts w:ascii="Arial" w:hAnsi="Arial" w:cs="Arial"/>
              </w:rPr>
            </w:pPr>
            <w:r w:rsidRPr="00F025C8">
              <w:rPr>
                <w:rFonts w:ascii="Arial" w:hAnsi="Arial" w:cs="Arial"/>
              </w:rPr>
              <w:t>Extent to which the applicant demonstrates active engagement and leadership within the arts, cultural or creative industries. Includes artistic practice, management, governance, policy, or cultural development experience.</w:t>
            </w:r>
          </w:p>
        </w:tc>
        <w:tc>
          <w:tcPr>
            <w:tcW w:w="2076" w:type="dxa"/>
          </w:tcPr>
          <w:p w14:paraId="24FD570F" w14:textId="50DF1486" w:rsidR="000C06E6" w:rsidRPr="00F025C8" w:rsidRDefault="0064628F">
            <w:pPr>
              <w:rPr>
                <w:rFonts w:ascii="Arial" w:hAnsi="Arial" w:cs="Arial"/>
              </w:rPr>
            </w:pPr>
            <w:r>
              <w:rPr>
                <w:rFonts w:ascii="Arial" w:hAnsi="Arial" w:cs="Arial"/>
              </w:rPr>
              <w:t>30</w:t>
            </w:r>
            <w:r w:rsidR="008A6BA0" w:rsidRPr="00F025C8">
              <w:rPr>
                <w:rFonts w:ascii="Arial" w:hAnsi="Arial" w:cs="Arial"/>
              </w:rPr>
              <w:t>%</w:t>
            </w:r>
          </w:p>
        </w:tc>
        <w:tc>
          <w:tcPr>
            <w:tcW w:w="1953" w:type="dxa"/>
          </w:tcPr>
          <w:p w14:paraId="2601A980" w14:textId="77777777" w:rsidR="000C06E6" w:rsidRPr="00F025C8" w:rsidRDefault="008A6BA0">
            <w:pPr>
              <w:rPr>
                <w:rFonts w:ascii="Arial" w:hAnsi="Arial" w:cs="Arial"/>
              </w:rPr>
            </w:pPr>
            <w:r w:rsidRPr="00F025C8">
              <w:rPr>
                <w:rFonts w:ascii="Arial" w:hAnsi="Arial" w:cs="Arial"/>
              </w:rPr>
              <w:t>Demonstrated national or Territory-level leadership; extensive experience across artforms or cultural sectors; contributes to sector development or advocacy.</w:t>
            </w:r>
          </w:p>
        </w:tc>
        <w:tc>
          <w:tcPr>
            <w:tcW w:w="1924" w:type="dxa"/>
          </w:tcPr>
          <w:p w14:paraId="28D05F2E" w14:textId="77777777" w:rsidR="000C06E6" w:rsidRPr="00F025C8" w:rsidRDefault="008A6BA0">
            <w:pPr>
              <w:rPr>
                <w:rFonts w:ascii="Arial" w:hAnsi="Arial" w:cs="Arial"/>
              </w:rPr>
            </w:pPr>
            <w:r w:rsidRPr="00F025C8">
              <w:rPr>
                <w:rFonts w:ascii="Arial" w:hAnsi="Arial" w:cs="Arial"/>
              </w:rPr>
              <w:t>Demonstrated relevant arts or cultural experience at local or regional level; contributes to projects or organisations.</w:t>
            </w:r>
          </w:p>
        </w:tc>
        <w:tc>
          <w:tcPr>
            <w:tcW w:w="1985" w:type="dxa"/>
          </w:tcPr>
          <w:p w14:paraId="5CE02CB8" w14:textId="77777777" w:rsidR="000C06E6" w:rsidRPr="00F025C8" w:rsidRDefault="008A6BA0">
            <w:pPr>
              <w:rPr>
                <w:rFonts w:ascii="Arial" w:hAnsi="Arial" w:cs="Arial"/>
              </w:rPr>
            </w:pPr>
            <w:r w:rsidRPr="00F025C8">
              <w:rPr>
                <w:rFonts w:ascii="Arial" w:hAnsi="Arial" w:cs="Arial"/>
              </w:rPr>
              <w:t>Limited experience in the arts or creative sectors but demonstrates potential or interest.</w:t>
            </w:r>
          </w:p>
        </w:tc>
      </w:tr>
      <w:tr w:rsidR="000C06E6" w:rsidRPr="00F025C8" w14:paraId="76866A4D" w14:textId="77777777" w:rsidTr="00F025C8">
        <w:tc>
          <w:tcPr>
            <w:tcW w:w="2943" w:type="dxa"/>
          </w:tcPr>
          <w:p w14:paraId="3B091FFA" w14:textId="77777777" w:rsidR="000C06E6" w:rsidRPr="00F025C8" w:rsidRDefault="008A6BA0">
            <w:pPr>
              <w:rPr>
                <w:rFonts w:ascii="Arial" w:hAnsi="Arial" w:cs="Arial"/>
              </w:rPr>
            </w:pPr>
            <w:r w:rsidRPr="00F025C8">
              <w:rPr>
                <w:rFonts w:ascii="Arial" w:hAnsi="Arial" w:cs="Arial"/>
              </w:rPr>
              <w:t>Regional and Community Representation</w:t>
            </w:r>
          </w:p>
        </w:tc>
        <w:tc>
          <w:tcPr>
            <w:tcW w:w="2552" w:type="dxa"/>
          </w:tcPr>
          <w:p w14:paraId="681C92FC" w14:textId="77777777" w:rsidR="000C06E6" w:rsidRPr="00F025C8" w:rsidRDefault="008A6BA0">
            <w:pPr>
              <w:rPr>
                <w:rFonts w:ascii="Arial" w:hAnsi="Arial" w:cs="Arial"/>
              </w:rPr>
            </w:pPr>
            <w:r w:rsidRPr="00F025C8">
              <w:rPr>
                <w:rFonts w:ascii="Arial" w:hAnsi="Arial" w:cs="Arial"/>
              </w:rPr>
              <w:t>Contribution to regional diversity, local knowledge, and lived experience that ensures balanced representation across the NT.</w:t>
            </w:r>
          </w:p>
        </w:tc>
        <w:tc>
          <w:tcPr>
            <w:tcW w:w="2076" w:type="dxa"/>
          </w:tcPr>
          <w:p w14:paraId="2B3FAD3B" w14:textId="77777777" w:rsidR="000C06E6" w:rsidRPr="00F025C8" w:rsidRDefault="008A6BA0">
            <w:pPr>
              <w:rPr>
                <w:rFonts w:ascii="Arial" w:hAnsi="Arial" w:cs="Arial"/>
              </w:rPr>
            </w:pPr>
            <w:r w:rsidRPr="00F025C8">
              <w:rPr>
                <w:rFonts w:ascii="Arial" w:hAnsi="Arial" w:cs="Arial"/>
              </w:rPr>
              <w:t>15%</w:t>
            </w:r>
          </w:p>
        </w:tc>
        <w:tc>
          <w:tcPr>
            <w:tcW w:w="1953" w:type="dxa"/>
          </w:tcPr>
          <w:p w14:paraId="44E5888D" w14:textId="77777777" w:rsidR="000C06E6" w:rsidRPr="00F025C8" w:rsidRDefault="008A6BA0">
            <w:pPr>
              <w:rPr>
                <w:rFonts w:ascii="Arial" w:hAnsi="Arial" w:cs="Arial"/>
              </w:rPr>
            </w:pPr>
            <w:r w:rsidRPr="00F025C8">
              <w:rPr>
                <w:rFonts w:ascii="Arial" w:hAnsi="Arial" w:cs="Arial"/>
              </w:rPr>
              <w:t xml:space="preserve">Brings strong regional or community connections and represents underrepresented voices (e.g., remote, Aboriginal, </w:t>
            </w:r>
            <w:r w:rsidRPr="00F025C8">
              <w:rPr>
                <w:rFonts w:ascii="Arial" w:hAnsi="Arial" w:cs="Arial"/>
              </w:rPr>
              <w:lastRenderedPageBreak/>
              <w:t>multicultural, disability, youth).</w:t>
            </w:r>
          </w:p>
        </w:tc>
        <w:tc>
          <w:tcPr>
            <w:tcW w:w="1924" w:type="dxa"/>
          </w:tcPr>
          <w:p w14:paraId="34B45414" w14:textId="77777777" w:rsidR="000C06E6" w:rsidRPr="00F025C8" w:rsidRDefault="008A6BA0">
            <w:pPr>
              <w:rPr>
                <w:rFonts w:ascii="Arial" w:hAnsi="Arial" w:cs="Arial"/>
              </w:rPr>
            </w:pPr>
            <w:r w:rsidRPr="00F025C8">
              <w:rPr>
                <w:rFonts w:ascii="Arial" w:hAnsi="Arial" w:cs="Arial"/>
              </w:rPr>
              <w:lastRenderedPageBreak/>
              <w:t>Represents a regional or local perspective; some community engagement experience.</w:t>
            </w:r>
          </w:p>
        </w:tc>
        <w:tc>
          <w:tcPr>
            <w:tcW w:w="1985" w:type="dxa"/>
          </w:tcPr>
          <w:p w14:paraId="050A485A" w14:textId="77777777" w:rsidR="000C06E6" w:rsidRPr="00F025C8" w:rsidRDefault="008A6BA0">
            <w:pPr>
              <w:rPr>
                <w:rFonts w:ascii="Arial" w:hAnsi="Arial" w:cs="Arial"/>
              </w:rPr>
            </w:pPr>
            <w:r w:rsidRPr="00F025C8">
              <w:rPr>
                <w:rFonts w:ascii="Arial" w:hAnsi="Arial" w:cs="Arial"/>
              </w:rPr>
              <w:t>Limited evidence of regional or community engagement.</w:t>
            </w:r>
          </w:p>
        </w:tc>
      </w:tr>
      <w:tr w:rsidR="000C06E6" w:rsidRPr="00F025C8" w14:paraId="13DE5E93" w14:textId="77777777" w:rsidTr="00F025C8">
        <w:tc>
          <w:tcPr>
            <w:tcW w:w="2943" w:type="dxa"/>
          </w:tcPr>
          <w:p w14:paraId="1DA9025D" w14:textId="77777777" w:rsidR="000C06E6" w:rsidRPr="00F025C8" w:rsidRDefault="008A6BA0">
            <w:pPr>
              <w:rPr>
                <w:rFonts w:ascii="Arial" w:hAnsi="Arial" w:cs="Arial"/>
              </w:rPr>
            </w:pPr>
            <w:r w:rsidRPr="00F025C8">
              <w:rPr>
                <w:rFonts w:ascii="Arial" w:hAnsi="Arial" w:cs="Arial"/>
              </w:rPr>
              <w:t>Public Value and Strategic Insight</w:t>
            </w:r>
          </w:p>
        </w:tc>
        <w:tc>
          <w:tcPr>
            <w:tcW w:w="2552" w:type="dxa"/>
          </w:tcPr>
          <w:p w14:paraId="77CC5CF5" w14:textId="77777777" w:rsidR="000C06E6" w:rsidRPr="00F025C8" w:rsidRDefault="008A6BA0">
            <w:pPr>
              <w:rPr>
                <w:rFonts w:ascii="Arial" w:hAnsi="Arial" w:cs="Arial"/>
              </w:rPr>
            </w:pPr>
            <w:r w:rsidRPr="00F025C8">
              <w:rPr>
                <w:rFonts w:ascii="Arial" w:hAnsi="Arial" w:cs="Arial"/>
              </w:rPr>
              <w:t>Ability to contribute to sector-wide discussions, identify opportunities, and provide advice aligned with the NT Arts Strategy 2034 priorities (Empower, Connect, Enrich).</w:t>
            </w:r>
          </w:p>
        </w:tc>
        <w:tc>
          <w:tcPr>
            <w:tcW w:w="2076" w:type="dxa"/>
          </w:tcPr>
          <w:p w14:paraId="76172587" w14:textId="77777777" w:rsidR="000C06E6" w:rsidRPr="00F025C8" w:rsidRDefault="008A6BA0">
            <w:pPr>
              <w:rPr>
                <w:rFonts w:ascii="Arial" w:hAnsi="Arial" w:cs="Arial"/>
              </w:rPr>
            </w:pPr>
            <w:r w:rsidRPr="00F025C8">
              <w:rPr>
                <w:rFonts w:ascii="Arial" w:hAnsi="Arial" w:cs="Arial"/>
              </w:rPr>
              <w:t>20%</w:t>
            </w:r>
          </w:p>
        </w:tc>
        <w:tc>
          <w:tcPr>
            <w:tcW w:w="1953" w:type="dxa"/>
          </w:tcPr>
          <w:p w14:paraId="71079610" w14:textId="77777777" w:rsidR="000C06E6" w:rsidRPr="00F025C8" w:rsidRDefault="008A6BA0">
            <w:pPr>
              <w:rPr>
                <w:rFonts w:ascii="Arial" w:hAnsi="Arial" w:cs="Arial"/>
              </w:rPr>
            </w:pPr>
            <w:r w:rsidRPr="00F025C8">
              <w:rPr>
                <w:rFonts w:ascii="Arial" w:hAnsi="Arial" w:cs="Arial"/>
              </w:rPr>
              <w:t>Demonstrates strategic thinking, cross-sector awareness, and a clear understanding of public value in arts and culture.</w:t>
            </w:r>
          </w:p>
        </w:tc>
        <w:tc>
          <w:tcPr>
            <w:tcW w:w="1924" w:type="dxa"/>
          </w:tcPr>
          <w:p w14:paraId="4B14E4EA" w14:textId="77777777" w:rsidR="000C06E6" w:rsidRPr="00F025C8" w:rsidRDefault="008A6BA0">
            <w:pPr>
              <w:rPr>
                <w:rFonts w:ascii="Arial" w:hAnsi="Arial" w:cs="Arial"/>
              </w:rPr>
            </w:pPr>
            <w:r w:rsidRPr="00F025C8">
              <w:rPr>
                <w:rFonts w:ascii="Arial" w:hAnsi="Arial" w:cs="Arial"/>
              </w:rPr>
              <w:t>Demonstrates understanding of sector needs and capacity to contribute to broad discussions.</w:t>
            </w:r>
          </w:p>
        </w:tc>
        <w:tc>
          <w:tcPr>
            <w:tcW w:w="1985" w:type="dxa"/>
          </w:tcPr>
          <w:p w14:paraId="7B9EBDA5" w14:textId="77777777" w:rsidR="000C06E6" w:rsidRPr="00F025C8" w:rsidRDefault="008A6BA0">
            <w:pPr>
              <w:rPr>
                <w:rFonts w:ascii="Arial" w:hAnsi="Arial" w:cs="Arial"/>
              </w:rPr>
            </w:pPr>
            <w:r w:rsidRPr="00F025C8">
              <w:rPr>
                <w:rFonts w:ascii="Arial" w:hAnsi="Arial" w:cs="Arial"/>
              </w:rPr>
              <w:t xml:space="preserve">Focused mainly on personal or </w:t>
            </w:r>
            <w:proofErr w:type="spellStart"/>
            <w:r w:rsidRPr="00F025C8">
              <w:rPr>
                <w:rFonts w:ascii="Arial" w:hAnsi="Arial" w:cs="Arial"/>
              </w:rPr>
              <w:t>organisational</w:t>
            </w:r>
            <w:proofErr w:type="spellEnd"/>
            <w:r w:rsidRPr="00F025C8">
              <w:rPr>
                <w:rFonts w:ascii="Arial" w:hAnsi="Arial" w:cs="Arial"/>
              </w:rPr>
              <w:t xml:space="preserve"> perspective; limited strategic insight.</w:t>
            </w:r>
          </w:p>
        </w:tc>
      </w:tr>
      <w:tr w:rsidR="000C06E6" w:rsidRPr="00F025C8" w14:paraId="2EB40671" w14:textId="77777777" w:rsidTr="00F025C8">
        <w:tc>
          <w:tcPr>
            <w:tcW w:w="2943" w:type="dxa"/>
          </w:tcPr>
          <w:p w14:paraId="54DEFC27" w14:textId="77777777" w:rsidR="000C06E6" w:rsidRPr="00F025C8" w:rsidRDefault="008A6BA0">
            <w:pPr>
              <w:rPr>
                <w:rFonts w:ascii="Arial" w:hAnsi="Arial" w:cs="Arial"/>
              </w:rPr>
            </w:pPr>
            <w:r w:rsidRPr="00F025C8">
              <w:rPr>
                <w:rFonts w:ascii="Arial" w:hAnsi="Arial" w:cs="Arial"/>
              </w:rPr>
              <w:t>Collaboration and Cross-Sector Capability</w:t>
            </w:r>
          </w:p>
        </w:tc>
        <w:tc>
          <w:tcPr>
            <w:tcW w:w="2552" w:type="dxa"/>
          </w:tcPr>
          <w:p w14:paraId="097C3A57" w14:textId="77777777" w:rsidR="000C06E6" w:rsidRPr="00F025C8" w:rsidRDefault="008A6BA0">
            <w:pPr>
              <w:rPr>
                <w:rFonts w:ascii="Arial" w:hAnsi="Arial" w:cs="Arial"/>
              </w:rPr>
            </w:pPr>
            <w:r w:rsidRPr="00F025C8">
              <w:rPr>
                <w:rFonts w:ascii="Arial" w:hAnsi="Arial" w:cs="Arial"/>
              </w:rPr>
              <w:t>Ability to collaborate across government, community, and industry to achieve shared cultural, social, and economic outcomes.</w:t>
            </w:r>
          </w:p>
        </w:tc>
        <w:tc>
          <w:tcPr>
            <w:tcW w:w="2076" w:type="dxa"/>
          </w:tcPr>
          <w:p w14:paraId="7DD6CABB" w14:textId="7A0A7F4F" w:rsidR="000C06E6" w:rsidRPr="00F025C8" w:rsidRDefault="008A6BA0">
            <w:pPr>
              <w:rPr>
                <w:rFonts w:ascii="Arial" w:hAnsi="Arial" w:cs="Arial"/>
              </w:rPr>
            </w:pPr>
            <w:r w:rsidRPr="00F025C8">
              <w:rPr>
                <w:rFonts w:ascii="Arial" w:hAnsi="Arial" w:cs="Arial"/>
              </w:rPr>
              <w:t>1</w:t>
            </w:r>
            <w:r w:rsidR="0064628F">
              <w:rPr>
                <w:rFonts w:ascii="Arial" w:hAnsi="Arial" w:cs="Arial"/>
              </w:rPr>
              <w:t>0</w:t>
            </w:r>
            <w:r w:rsidRPr="00F025C8">
              <w:rPr>
                <w:rFonts w:ascii="Arial" w:hAnsi="Arial" w:cs="Arial"/>
              </w:rPr>
              <w:t>%</w:t>
            </w:r>
          </w:p>
        </w:tc>
        <w:tc>
          <w:tcPr>
            <w:tcW w:w="1953" w:type="dxa"/>
          </w:tcPr>
          <w:p w14:paraId="342C71CD" w14:textId="77777777" w:rsidR="000C06E6" w:rsidRPr="00F025C8" w:rsidRDefault="008A6BA0">
            <w:pPr>
              <w:rPr>
                <w:rFonts w:ascii="Arial" w:hAnsi="Arial" w:cs="Arial"/>
              </w:rPr>
            </w:pPr>
            <w:r w:rsidRPr="00F025C8">
              <w:rPr>
                <w:rFonts w:ascii="Arial" w:hAnsi="Arial" w:cs="Arial"/>
              </w:rPr>
              <w:t>Strong record of collaboration or partnerships across sectors; promotes inclusivity and innovation.</w:t>
            </w:r>
          </w:p>
        </w:tc>
        <w:tc>
          <w:tcPr>
            <w:tcW w:w="1924" w:type="dxa"/>
          </w:tcPr>
          <w:p w14:paraId="2816A7B5" w14:textId="77777777" w:rsidR="000C06E6" w:rsidRPr="00F025C8" w:rsidRDefault="008A6BA0">
            <w:pPr>
              <w:rPr>
                <w:rFonts w:ascii="Arial" w:hAnsi="Arial" w:cs="Arial"/>
              </w:rPr>
            </w:pPr>
            <w:r w:rsidRPr="00F025C8">
              <w:rPr>
                <w:rFonts w:ascii="Arial" w:hAnsi="Arial" w:cs="Arial"/>
              </w:rPr>
              <w:t>Some experience collaborating across sectors or disciplines.</w:t>
            </w:r>
          </w:p>
        </w:tc>
        <w:tc>
          <w:tcPr>
            <w:tcW w:w="1985" w:type="dxa"/>
          </w:tcPr>
          <w:p w14:paraId="082C8341" w14:textId="77777777" w:rsidR="000C06E6" w:rsidRPr="00F025C8" w:rsidRDefault="008A6BA0">
            <w:pPr>
              <w:rPr>
                <w:rFonts w:ascii="Arial" w:hAnsi="Arial" w:cs="Arial"/>
              </w:rPr>
            </w:pPr>
            <w:r w:rsidRPr="00F025C8">
              <w:rPr>
                <w:rFonts w:ascii="Arial" w:hAnsi="Arial" w:cs="Arial"/>
              </w:rPr>
              <w:t>Limited experience with cross-sector engagement.</w:t>
            </w:r>
          </w:p>
        </w:tc>
      </w:tr>
      <w:tr w:rsidR="000C06E6" w:rsidRPr="00F025C8" w14:paraId="0AF3B478" w14:textId="77777777" w:rsidTr="00F025C8">
        <w:tc>
          <w:tcPr>
            <w:tcW w:w="2943" w:type="dxa"/>
          </w:tcPr>
          <w:p w14:paraId="4B67EEDF" w14:textId="77777777" w:rsidR="000C06E6" w:rsidRPr="00F025C8" w:rsidRDefault="008A6BA0">
            <w:pPr>
              <w:rPr>
                <w:rFonts w:ascii="Arial" w:hAnsi="Arial" w:cs="Arial"/>
              </w:rPr>
            </w:pPr>
            <w:r w:rsidRPr="00F025C8">
              <w:rPr>
                <w:rFonts w:ascii="Arial" w:hAnsi="Arial" w:cs="Arial"/>
              </w:rPr>
              <w:t>Governance and Ethical Conduct</w:t>
            </w:r>
          </w:p>
        </w:tc>
        <w:tc>
          <w:tcPr>
            <w:tcW w:w="2552" w:type="dxa"/>
          </w:tcPr>
          <w:p w14:paraId="6D43C856" w14:textId="77777777" w:rsidR="000C06E6" w:rsidRPr="00F025C8" w:rsidRDefault="008A6BA0">
            <w:pPr>
              <w:rPr>
                <w:rFonts w:ascii="Arial" w:hAnsi="Arial" w:cs="Arial"/>
              </w:rPr>
            </w:pPr>
            <w:r w:rsidRPr="00F025C8">
              <w:rPr>
                <w:rFonts w:ascii="Arial" w:hAnsi="Arial" w:cs="Arial"/>
              </w:rPr>
              <w:t>Understanding of good governance, integrity, and compliance with NT Government standards (Boards Handbook, Code of Conduct, conflict of interest).</w:t>
            </w:r>
          </w:p>
        </w:tc>
        <w:tc>
          <w:tcPr>
            <w:tcW w:w="2076" w:type="dxa"/>
          </w:tcPr>
          <w:p w14:paraId="5C697796" w14:textId="77777777" w:rsidR="000C06E6" w:rsidRPr="00F025C8" w:rsidRDefault="008A6BA0">
            <w:pPr>
              <w:rPr>
                <w:rFonts w:ascii="Arial" w:hAnsi="Arial" w:cs="Arial"/>
              </w:rPr>
            </w:pPr>
            <w:r w:rsidRPr="00F025C8">
              <w:rPr>
                <w:rFonts w:ascii="Arial" w:hAnsi="Arial" w:cs="Arial"/>
              </w:rPr>
              <w:t>10%</w:t>
            </w:r>
          </w:p>
        </w:tc>
        <w:tc>
          <w:tcPr>
            <w:tcW w:w="1953" w:type="dxa"/>
          </w:tcPr>
          <w:p w14:paraId="551DA882" w14:textId="77777777" w:rsidR="000C06E6" w:rsidRPr="00F025C8" w:rsidRDefault="008A6BA0">
            <w:pPr>
              <w:rPr>
                <w:rFonts w:ascii="Arial" w:hAnsi="Arial" w:cs="Arial"/>
              </w:rPr>
            </w:pPr>
            <w:r w:rsidRPr="00F025C8">
              <w:rPr>
                <w:rFonts w:ascii="Arial" w:hAnsi="Arial" w:cs="Arial"/>
              </w:rPr>
              <w:t>Demonstrates governance experience (board, committee, or policy roles); clear understanding of ethical obligations.</w:t>
            </w:r>
          </w:p>
        </w:tc>
        <w:tc>
          <w:tcPr>
            <w:tcW w:w="1924" w:type="dxa"/>
          </w:tcPr>
          <w:p w14:paraId="6DD65618" w14:textId="77777777" w:rsidR="000C06E6" w:rsidRPr="00F025C8" w:rsidRDefault="008A6BA0">
            <w:pPr>
              <w:rPr>
                <w:rFonts w:ascii="Arial" w:hAnsi="Arial" w:cs="Arial"/>
              </w:rPr>
            </w:pPr>
            <w:r w:rsidRPr="00F025C8">
              <w:rPr>
                <w:rFonts w:ascii="Arial" w:hAnsi="Arial" w:cs="Arial"/>
              </w:rPr>
              <w:t>Basic understanding of governance and accountability; potential for development.</w:t>
            </w:r>
          </w:p>
        </w:tc>
        <w:tc>
          <w:tcPr>
            <w:tcW w:w="1985" w:type="dxa"/>
          </w:tcPr>
          <w:p w14:paraId="52B1D2E0" w14:textId="77777777" w:rsidR="000C06E6" w:rsidRPr="00F025C8" w:rsidRDefault="008A6BA0">
            <w:pPr>
              <w:rPr>
                <w:rFonts w:ascii="Arial" w:hAnsi="Arial" w:cs="Arial"/>
              </w:rPr>
            </w:pPr>
            <w:r w:rsidRPr="00F025C8">
              <w:rPr>
                <w:rFonts w:ascii="Arial" w:hAnsi="Arial" w:cs="Arial"/>
              </w:rPr>
              <w:t>Limited understanding of governance; may require orientation or mentoring.</w:t>
            </w:r>
          </w:p>
        </w:tc>
      </w:tr>
      <w:tr w:rsidR="000C06E6" w:rsidRPr="00F025C8" w14:paraId="70BD42AF" w14:textId="77777777" w:rsidTr="00F025C8">
        <w:tc>
          <w:tcPr>
            <w:tcW w:w="2943" w:type="dxa"/>
          </w:tcPr>
          <w:p w14:paraId="425F11F2" w14:textId="77777777" w:rsidR="000C06E6" w:rsidRPr="00F025C8" w:rsidRDefault="008A6BA0">
            <w:pPr>
              <w:rPr>
                <w:rFonts w:ascii="Arial" w:hAnsi="Arial" w:cs="Arial"/>
              </w:rPr>
            </w:pPr>
            <w:r w:rsidRPr="00F025C8">
              <w:rPr>
                <w:rFonts w:ascii="Arial" w:hAnsi="Arial" w:cs="Arial"/>
              </w:rPr>
              <w:t>Communication and Advocacy Skills</w:t>
            </w:r>
          </w:p>
        </w:tc>
        <w:tc>
          <w:tcPr>
            <w:tcW w:w="2552" w:type="dxa"/>
          </w:tcPr>
          <w:p w14:paraId="54404D26" w14:textId="77777777" w:rsidR="000C06E6" w:rsidRPr="00F025C8" w:rsidRDefault="008A6BA0">
            <w:pPr>
              <w:rPr>
                <w:rFonts w:ascii="Arial" w:hAnsi="Arial" w:cs="Arial"/>
              </w:rPr>
            </w:pPr>
            <w:r w:rsidRPr="00F025C8">
              <w:rPr>
                <w:rFonts w:ascii="Arial" w:hAnsi="Arial" w:cs="Arial"/>
              </w:rPr>
              <w:t>Capacity to represent community perspectives, articulate issues clearly, and contribute to public communication of arts and cultural value.</w:t>
            </w:r>
          </w:p>
        </w:tc>
        <w:tc>
          <w:tcPr>
            <w:tcW w:w="2076" w:type="dxa"/>
          </w:tcPr>
          <w:p w14:paraId="41DC9BA6" w14:textId="77777777" w:rsidR="000C06E6" w:rsidRPr="00F025C8" w:rsidRDefault="008A6BA0">
            <w:pPr>
              <w:rPr>
                <w:rFonts w:ascii="Arial" w:hAnsi="Arial" w:cs="Arial"/>
              </w:rPr>
            </w:pPr>
            <w:r w:rsidRPr="00F025C8">
              <w:rPr>
                <w:rFonts w:ascii="Arial" w:hAnsi="Arial" w:cs="Arial"/>
              </w:rPr>
              <w:t>10%</w:t>
            </w:r>
          </w:p>
        </w:tc>
        <w:tc>
          <w:tcPr>
            <w:tcW w:w="1953" w:type="dxa"/>
          </w:tcPr>
          <w:p w14:paraId="474BF7E9" w14:textId="77777777" w:rsidR="000C06E6" w:rsidRPr="00F025C8" w:rsidRDefault="008A6BA0">
            <w:pPr>
              <w:rPr>
                <w:rFonts w:ascii="Arial" w:hAnsi="Arial" w:cs="Arial"/>
              </w:rPr>
            </w:pPr>
            <w:r w:rsidRPr="00F025C8">
              <w:rPr>
                <w:rFonts w:ascii="Arial" w:hAnsi="Arial" w:cs="Arial"/>
              </w:rPr>
              <w:t>Strong communication and advocacy skills; experienced in representing groups or causes publicly.</w:t>
            </w:r>
          </w:p>
        </w:tc>
        <w:tc>
          <w:tcPr>
            <w:tcW w:w="1924" w:type="dxa"/>
          </w:tcPr>
          <w:p w14:paraId="48727FDC" w14:textId="77777777" w:rsidR="000C06E6" w:rsidRPr="00F025C8" w:rsidRDefault="008A6BA0">
            <w:pPr>
              <w:rPr>
                <w:rFonts w:ascii="Arial" w:hAnsi="Arial" w:cs="Arial"/>
              </w:rPr>
            </w:pPr>
            <w:r w:rsidRPr="00F025C8">
              <w:rPr>
                <w:rFonts w:ascii="Arial" w:hAnsi="Arial" w:cs="Arial"/>
              </w:rPr>
              <w:t>Communicates well and engages with peers; some experience advocating within sector.</w:t>
            </w:r>
          </w:p>
        </w:tc>
        <w:tc>
          <w:tcPr>
            <w:tcW w:w="1985" w:type="dxa"/>
          </w:tcPr>
          <w:p w14:paraId="6B9FE912" w14:textId="77777777" w:rsidR="000C06E6" w:rsidRPr="00F025C8" w:rsidRDefault="008A6BA0">
            <w:pPr>
              <w:rPr>
                <w:rFonts w:ascii="Arial" w:hAnsi="Arial" w:cs="Arial"/>
              </w:rPr>
            </w:pPr>
            <w:r w:rsidRPr="00F025C8">
              <w:rPr>
                <w:rFonts w:ascii="Arial" w:hAnsi="Arial" w:cs="Arial"/>
              </w:rPr>
              <w:t>Developing communication or advocacy confidence; limited public representation experience.</w:t>
            </w:r>
          </w:p>
        </w:tc>
      </w:tr>
      <w:tr w:rsidR="000C06E6" w:rsidRPr="00F025C8" w14:paraId="1D2D5FB5" w14:textId="77777777" w:rsidTr="00F025C8">
        <w:tc>
          <w:tcPr>
            <w:tcW w:w="2943" w:type="dxa"/>
          </w:tcPr>
          <w:p w14:paraId="27B42A30" w14:textId="77777777" w:rsidR="000C06E6" w:rsidRPr="00F025C8" w:rsidRDefault="008A6BA0">
            <w:pPr>
              <w:rPr>
                <w:rFonts w:ascii="Arial" w:hAnsi="Arial" w:cs="Arial"/>
              </w:rPr>
            </w:pPr>
            <w:r w:rsidRPr="00F025C8">
              <w:rPr>
                <w:rFonts w:ascii="Arial" w:hAnsi="Arial" w:cs="Arial"/>
              </w:rPr>
              <w:t>Diversity, Inclusion, and Innovation</w:t>
            </w:r>
          </w:p>
        </w:tc>
        <w:tc>
          <w:tcPr>
            <w:tcW w:w="2552" w:type="dxa"/>
          </w:tcPr>
          <w:p w14:paraId="45C33B98" w14:textId="77777777" w:rsidR="000C06E6" w:rsidRPr="00F025C8" w:rsidRDefault="008A6BA0">
            <w:pPr>
              <w:rPr>
                <w:rFonts w:ascii="Arial" w:hAnsi="Arial" w:cs="Arial"/>
              </w:rPr>
            </w:pPr>
            <w:r w:rsidRPr="00F025C8">
              <w:rPr>
                <w:rFonts w:ascii="Arial" w:hAnsi="Arial" w:cs="Arial"/>
              </w:rPr>
              <w:t>Extent to which the applicant adds to the diversity of perspectives, backgrounds, and artforms represented in the Committee.</w:t>
            </w:r>
          </w:p>
        </w:tc>
        <w:tc>
          <w:tcPr>
            <w:tcW w:w="2076" w:type="dxa"/>
          </w:tcPr>
          <w:p w14:paraId="6DD20CFC" w14:textId="77777777" w:rsidR="000C06E6" w:rsidRPr="00F025C8" w:rsidRDefault="008A6BA0">
            <w:pPr>
              <w:rPr>
                <w:rFonts w:ascii="Arial" w:hAnsi="Arial" w:cs="Arial"/>
              </w:rPr>
            </w:pPr>
            <w:r w:rsidRPr="00F025C8">
              <w:rPr>
                <w:rFonts w:ascii="Arial" w:hAnsi="Arial" w:cs="Arial"/>
              </w:rPr>
              <w:t>5%</w:t>
            </w:r>
          </w:p>
        </w:tc>
        <w:tc>
          <w:tcPr>
            <w:tcW w:w="1953" w:type="dxa"/>
          </w:tcPr>
          <w:p w14:paraId="2E49066D" w14:textId="77777777" w:rsidR="000C06E6" w:rsidRPr="00F025C8" w:rsidRDefault="008A6BA0">
            <w:pPr>
              <w:rPr>
                <w:rFonts w:ascii="Arial" w:hAnsi="Arial" w:cs="Arial"/>
              </w:rPr>
            </w:pPr>
            <w:r w:rsidRPr="00F025C8">
              <w:rPr>
                <w:rFonts w:ascii="Arial" w:hAnsi="Arial" w:cs="Arial"/>
              </w:rPr>
              <w:t>Adds distinct perspective (e.g. Aboriginal, regional, youth, disability, cultural diversity, emerging artforms, digital innovation).</w:t>
            </w:r>
          </w:p>
        </w:tc>
        <w:tc>
          <w:tcPr>
            <w:tcW w:w="1924" w:type="dxa"/>
          </w:tcPr>
          <w:p w14:paraId="42884636" w14:textId="77777777" w:rsidR="000C06E6" w:rsidRPr="00F025C8" w:rsidRDefault="008A6BA0">
            <w:pPr>
              <w:rPr>
                <w:rFonts w:ascii="Arial" w:hAnsi="Arial" w:cs="Arial"/>
              </w:rPr>
            </w:pPr>
            <w:r w:rsidRPr="00F025C8">
              <w:rPr>
                <w:rFonts w:ascii="Arial" w:hAnsi="Arial" w:cs="Arial"/>
              </w:rPr>
              <w:t>Adds some diversity of experience or perspective.</w:t>
            </w:r>
          </w:p>
        </w:tc>
        <w:tc>
          <w:tcPr>
            <w:tcW w:w="1985" w:type="dxa"/>
          </w:tcPr>
          <w:p w14:paraId="00FA4B74" w14:textId="77777777" w:rsidR="000C06E6" w:rsidRPr="00F025C8" w:rsidRDefault="008A6BA0">
            <w:pPr>
              <w:rPr>
                <w:rFonts w:ascii="Arial" w:hAnsi="Arial" w:cs="Arial"/>
              </w:rPr>
            </w:pPr>
            <w:r w:rsidRPr="00F025C8">
              <w:rPr>
                <w:rFonts w:ascii="Arial" w:hAnsi="Arial" w:cs="Arial"/>
              </w:rPr>
              <w:t>Similar profile to existing membership; minimal new diversity or innovation contribution.</w:t>
            </w:r>
          </w:p>
        </w:tc>
      </w:tr>
    </w:tbl>
    <w:p w14:paraId="70BD6FEE" w14:textId="77777777" w:rsidR="000C06E6" w:rsidRPr="00F025C8" w:rsidRDefault="008A6BA0">
      <w:pPr>
        <w:rPr>
          <w:rFonts w:ascii="Arial" w:hAnsi="Arial" w:cs="Arial"/>
        </w:rPr>
      </w:pPr>
      <w:r w:rsidRPr="00F025C8">
        <w:rPr>
          <w:rFonts w:ascii="Arial" w:hAnsi="Arial" w:cs="Arial"/>
        </w:rPr>
        <w:br/>
        <w:t>Scoring Framework:</w:t>
      </w:r>
    </w:p>
    <w:p w14:paraId="2E7BE640" w14:textId="77777777" w:rsidR="000C06E6" w:rsidRPr="00F025C8" w:rsidRDefault="008A6BA0">
      <w:pPr>
        <w:rPr>
          <w:rFonts w:ascii="Arial" w:hAnsi="Arial" w:cs="Arial"/>
        </w:rPr>
      </w:pPr>
      <w:r w:rsidRPr="00F025C8">
        <w:rPr>
          <w:rFonts w:ascii="Arial" w:hAnsi="Arial" w:cs="Arial"/>
        </w:rPr>
        <w:t>• Total possible score: 100 points</w:t>
      </w:r>
      <w:r w:rsidRPr="00F025C8">
        <w:rPr>
          <w:rFonts w:ascii="Arial" w:hAnsi="Arial" w:cs="Arial"/>
        </w:rPr>
        <w:br/>
        <w:t>• Minimum threshold for consideration: 70 points</w:t>
      </w:r>
      <w:r w:rsidRPr="00F025C8">
        <w:rPr>
          <w:rFonts w:ascii="Arial" w:hAnsi="Arial" w:cs="Arial"/>
        </w:rPr>
        <w:br/>
        <w:t>• Balance considerations include regional representation, artform diversity, and demographic inclusion.</w:t>
      </w:r>
      <w:r w:rsidRPr="00F025C8">
        <w:rPr>
          <w:rFonts w:ascii="Arial" w:hAnsi="Arial" w:cs="Arial"/>
        </w:rPr>
        <w:br/>
        <w:t>• Final recommendations based on both merit score and contribution to overall diversity of the Committee.</w:t>
      </w:r>
    </w:p>
    <w:sectPr w:rsidR="000C06E6" w:rsidRPr="00F025C8" w:rsidSect="00F025C8">
      <w:pgSz w:w="15840" w:h="12240" w:orient="landscape"/>
      <w:pgMar w:top="1276" w:right="709" w:bottom="118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169312">
    <w:abstractNumId w:val="8"/>
  </w:num>
  <w:num w:numId="2" w16cid:durableId="55863072">
    <w:abstractNumId w:val="6"/>
  </w:num>
  <w:num w:numId="3" w16cid:durableId="859664406">
    <w:abstractNumId w:val="5"/>
  </w:num>
  <w:num w:numId="4" w16cid:durableId="400518852">
    <w:abstractNumId w:val="4"/>
  </w:num>
  <w:num w:numId="5" w16cid:durableId="391662352">
    <w:abstractNumId w:val="7"/>
  </w:num>
  <w:num w:numId="6" w16cid:durableId="885335242">
    <w:abstractNumId w:val="3"/>
  </w:num>
  <w:num w:numId="7" w16cid:durableId="931863234">
    <w:abstractNumId w:val="2"/>
  </w:num>
  <w:num w:numId="8" w16cid:durableId="1929188833">
    <w:abstractNumId w:val="1"/>
  </w:num>
  <w:num w:numId="9" w16cid:durableId="82065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06E6"/>
    <w:rsid w:val="0015074B"/>
    <w:rsid w:val="0029639D"/>
    <w:rsid w:val="002E10B3"/>
    <w:rsid w:val="00326F90"/>
    <w:rsid w:val="00595022"/>
    <w:rsid w:val="0064628F"/>
    <w:rsid w:val="008A6BA0"/>
    <w:rsid w:val="00AA1D8D"/>
    <w:rsid w:val="00B43063"/>
    <w:rsid w:val="00B47730"/>
    <w:rsid w:val="00CB0664"/>
    <w:rsid w:val="00F025C8"/>
    <w:rsid w:val="00F426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5B765"/>
  <w14:defaultImageDpi w14:val="300"/>
  <w15:docId w15:val="{CE7B2961-D791-4316-892B-A7DE5570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Ministerial Advisory Committee for the Arts (MACA) - EOI Assessment Rubric</vt:lpstr>
    </vt:vector>
  </TitlesOfParts>
  <Manager/>
  <Company>People, Sport and Culture</Company>
  <LinksUpToDate>false</LinksUpToDate>
  <CharactersWithSpaces>4045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Advisory Committee for the Arts (MACA) - EOI Assessment Rubric</dc:title>
  <dc:subject/>
  <dc:creator>NorthernTerritory Government</dc:creator>
  <cp:keywords/>
  <dc:description/>
  <cp:lastModifiedBy>Darwin Dominic</cp:lastModifiedBy>
  <cp:revision>5</cp:revision>
  <dcterms:created xsi:type="dcterms:W3CDTF">2025-10-23T08:05:00Z</dcterms:created>
  <dcterms:modified xsi:type="dcterms:W3CDTF">2025-11-26T00:21:00Z</dcterms:modified>
  <cp:category/>
</cp:coreProperties>
</file>